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B325B">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启东市自来水厂有限公司内衬不锈钢管及管件</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b/>
          <w:spacing w:val="-6"/>
          <w:sz w:val="32"/>
          <w:szCs w:val="32"/>
          <w:lang w:val="en-US" w:eastAsia="zh-CN"/>
        </w:rPr>
        <w:t>2026-2027年度采购项目</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启东市自来水厂有限公司的启东市自来水厂有限公司内衬不锈钢管及管件2026-2027年度采购项目即将实施，现就该项目进行市场询价调研。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启东市自来水厂有限公司内衬不锈钢管及管件2026-2027年度采购清单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default" w:cs="宋体"/>
          <w:b/>
          <w:bCs/>
          <w:color w:val="000000"/>
          <w:sz w:val="24"/>
          <w:szCs w:val="24"/>
          <w:lang w:val="en-US" w:eastAsia="zh-CN"/>
        </w:rPr>
      </w:pPr>
      <w:r>
        <w:rPr>
          <w:rFonts w:hint="eastAsia" w:cs="宋体"/>
          <w:b/>
          <w:bCs/>
          <w:color w:val="000000"/>
          <w:sz w:val="24"/>
          <w:szCs w:val="24"/>
          <w:lang w:val="en-US" w:eastAsia="zh-CN"/>
        </w:rPr>
        <w:t>二、技术要求</w:t>
      </w:r>
    </w:p>
    <w:p w14:paraId="25460BA4">
      <w:pPr>
        <w:pStyle w:val="32"/>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管材技术要求</w:t>
      </w:r>
    </w:p>
    <w:p w14:paraId="190C278C">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给水内衬不锈钢复合钢管应符合CJ/T 192-2017《内衬不锈钢复合钢管》的标准相关规定。</w:t>
      </w:r>
    </w:p>
    <w:p w14:paraId="1B559051">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热镀锌钢管（基管）厂家生产</w:t>
      </w:r>
      <w:r>
        <w:rPr>
          <w:rFonts w:hint="eastAsia" w:ascii="宋体" w:hAnsi="宋体" w:eastAsia="宋体" w:cs="宋体"/>
          <w:kern w:val="2"/>
          <w:sz w:val="24"/>
          <w:szCs w:val="24"/>
          <w:highlight w:val="none"/>
          <w:lang w:eastAsia="zh-CN"/>
        </w:rPr>
        <w:t>的</w:t>
      </w:r>
      <w:r>
        <w:rPr>
          <w:rFonts w:hint="eastAsia" w:ascii="宋体" w:hAnsi="宋体" w:eastAsia="宋体" w:cs="宋体"/>
          <w:kern w:val="2"/>
          <w:sz w:val="24"/>
          <w:szCs w:val="24"/>
          <w:highlight w:val="none"/>
        </w:rPr>
        <w:t>全新产品</w:t>
      </w:r>
      <w:r>
        <w:rPr>
          <w:rFonts w:hint="eastAsia" w:ascii="宋体" w:eastAsia="宋体" w:cs="宋体"/>
          <w:kern w:val="2"/>
          <w:sz w:val="24"/>
          <w:szCs w:val="24"/>
          <w:highlight w:val="none"/>
          <w:lang w:eastAsia="zh-CN"/>
        </w:rPr>
        <w:t>，</w:t>
      </w:r>
      <w:r>
        <w:rPr>
          <w:rFonts w:hint="eastAsia" w:ascii="宋体" w:hAnsi="宋体" w:eastAsia="宋体" w:cs="宋体"/>
          <w:kern w:val="2"/>
          <w:sz w:val="24"/>
          <w:szCs w:val="24"/>
          <w:highlight w:val="none"/>
        </w:rPr>
        <w:t>质量应符合GB/T 3091-20</w:t>
      </w:r>
      <w:r>
        <w:rPr>
          <w:rFonts w:hint="eastAsia" w:ascii="宋体" w:hAnsi="宋体" w:eastAsia="宋体" w:cs="宋体"/>
          <w:kern w:val="2"/>
          <w:sz w:val="24"/>
          <w:szCs w:val="24"/>
          <w:highlight w:val="none"/>
          <w:lang w:val="en-US" w:eastAsia="zh-CN"/>
        </w:rPr>
        <w:t>25</w:t>
      </w:r>
      <w:r>
        <w:rPr>
          <w:rFonts w:hint="eastAsia" w:ascii="宋体" w:hAnsi="宋体" w:eastAsia="宋体" w:cs="宋体"/>
          <w:kern w:val="2"/>
          <w:sz w:val="24"/>
          <w:szCs w:val="24"/>
          <w:highlight w:val="none"/>
        </w:rPr>
        <w:t>《低压流体输送用焊接钢管》</w:t>
      </w:r>
      <w:r>
        <w:rPr>
          <w:rFonts w:hint="eastAsia" w:ascii="宋体" w:hAnsi="宋体" w:eastAsia="宋体" w:cs="宋体"/>
          <w:color w:val="auto"/>
          <w:kern w:val="2"/>
          <w:sz w:val="24"/>
          <w:szCs w:val="24"/>
          <w:highlight w:val="none"/>
          <w:lang w:eastAsia="zh-CN"/>
        </w:rPr>
        <w:t>标准</w:t>
      </w:r>
      <w:r>
        <w:rPr>
          <w:rFonts w:hint="eastAsia" w:ascii="宋体" w:hAnsi="宋体" w:eastAsia="宋体" w:cs="宋体"/>
          <w:kern w:val="2"/>
          <w:sz w:val="24"/>
          <w:szCs w:val="24"/>
          <w:highlight w:val="none"/>
        </w:rPr>
        <w:t>要求。</w:t>
      </w:r>
    </w:p>
    <w:p w14:paraId="6DCFE263">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不锈钢采用食品级304及以上（06Cr19Ni10)，不锈钢钢管质量应符合GB/T 12771-20</w:t>
      </w:r>
      <w:r>
        <w:rPr>
          <w:rFonts w:hint="eastAsia" w:ascii="宋体" w:hAnsi="宋体" w:eastAsia="宋体" w:cs="宋体"/>
          <w:kern w:val="2"/>
          <w:sz w:val="24"/>
          <w:szCs w:val="24"/>
          <w:highlight w:val="none"/>
          <w:lang w:val="en-US" w:eastAsia="zh-CN"/>
        </w:rPr>
        <w:t>19</w:t>
      </w:r>
      <w:r>
        <w:rPr>
          <w:rFonts w:hint="eastAsia" w:ascii="宋体" w:hAnsi="宋体" w:eastAsia="宋体" w:cs="宋体"/>
          <w:kern w:val="2"/>
          <w:sz w:val="24"/>
          <w:szCs w:val="24"/>
          <w:highlight w:val="none"/>
        </w:rPr>
        <w:t>《流体输送用不锈钢焊接钢管》。</w:t>
      </w:r>
    </w:p>
    <w:p w14:paraId="6B73BA83">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不锈钢管应进行在线涡流检测，且符合相关标准的要求。</w:t>
      </w:r>
    </w:p>
    <w:p w14:paraId="4AF36672">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不锈钢复合钢管产品的卫生性能应符合</w:t>
      </w:r>
      <w:r>
        <w:rPr>
          <w:rFonts w:hint="eastAsia" w:ascii="宋体" w:hAnsi="宋体" w:eastAsia="宋体" w:cs="宋体"/>
          <w:bCs/>
          <w:kern w:val="0"/>
          <w:sz w:val="24"/>
          <w:szCs w:val="24"/>
          <w:highlight w:val="none"/>
          <w:lang w:val="en-US" w:eastAsia="zh-CN" w:bidi="ar"/>
        </w:rPr>
        <w:t>《生活饮用水输配水设备及防护材料卫生安全评价规范》(2001)</w:t>
      </w:r>
      <w:r>
        <w:rPr>
          <w:rFonts w:hint="eastAsia" w:ascii="宋体" w:eastAsia="宋体" w:cs="宋体"/>
          <w:kern w:val="2"/>
          <w:sz w:val="24"/>
          <w:szCs w:val="24"/>
          <w:highlight w:val="none"/>
          <w:lang w:val="en-US" w:eastAsia="zh-CN"/>
        </w:rPr>
        <w:t>或者GB/T17219-2025《生活饮用水输配水设备、防护材料及水处理材料卫生安全评价》</w:t>
      </w:r>
      <w:r>
        <w:rPr>
          <w:rFonts w:hint="eastAsia" w:ascii="宋体" w:hAnsi="宋体" w:eastAsia="宋体" w:cs="宋体"/>
          <w:kern w:val="2"/>
          <w:sz w:val="24"/>
          <w:szCs w:val="24"/>
          <w:highlight w:val="none"/>
        </w:rPr>
        <w:t>。</w:t>
      </w:r>
    </w:p>
    <w:p w14:paraId="0F0B60D2">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复合钢管的外层钢管（基管）与内层不锈钢管之间的剪切试验和加持力试验的结合强度不应小于0.5 MPa。</w:t>
      </w:r>
    </w:p>
    <w:p w14:paraId="2FA51FE0">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管径大于50 mm的复合钢管应作压扁性能试验，经压扁后不发生焊缝裂痕。</w:t>
      </w:r>
    </w:p>
    <w:p w14:paraId="03ADF54D">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8</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产品标注：生产企业名称（或标识）、执行标准号、公称直径。</w:t>
      </w:r>
    </w:p>
    <w:p w14:paraId="0048188B">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9</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优先选用绿色建筑节能产品。</w:t>
      </w:r>
    </w:p>
    <w:p w14:paraId="327C55A1">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连接配件技术要求</w:t>
      </w:r>
    </w:p>
    <w:p w14:paraId="62FDCA8A">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复合钢管采用螺纹和沟槽连接方式，小于DN100管采用螺纹连接，大于或等于DN100管采用沟槽连接方式，管件均为内衬不锈钢玛钢材质。</w:t>
      </w:r>
    </w:p>
    <w:p w14:paraId="6DE67D56">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螺纹丝扣管件的基坯质量应符合GB/T 3287-20</w:t>
      </w:r>
      <w:r>
        <w:rPr>
          <w:rFonts w:hint="eastAsia" w:ascii="宋体" w:hAnsi="宋体" w:eastAsia="宋体" w:cs="宋体"/>
          <w:kern w:val="2"/>
          <w:sz w:val="24"/>
          <w:szCs w:val="24"/>
          <w:highlight w:val="none"/>
          <w:lang w:val="en-US" w:eastAsia="zh-CN"/>
        </w:rPr>
        <w:t>24</w:t>
      </w:r>
      <w:r>
        <w:rPr>
          <w:rFonts w:hint="eastAsia" w:ascii="宋体" w:hAnsi="宋体" w:eastAsia="宋体" w:cs="宋体"/>
          <w:kern w:val="2"/>
          <w:sz w:val="24"/>
          <w:szCs w:val="24"/>
          <w:highlight w:val="none"/>
        </w:rPr>
        <w:t>《可锻铸铁管路连接件》标准。</w:t>
      </w:r>
    </w:p>
    <w:p w14:paraId="55F63BAD">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沟槽卡箍管件（基坯）质量应满足</w:t>
      </w:r>
      <w:r>
        <w:rPr>
          <w:rFonts w:hint="eastAsia" w:ascii="宋体" w:hAnsi="宋体" w:eastAsia="宋体" w:cs="宋体"/>
          <w:kern w:val="2"/>
          <w:sz w:val="24"/>
          <w:szCs w:val="24"/>
          <w:highlight w:val="none"/>
          <w:lang w:eastAsia="zh-CN"/>
        </w:rPr>
        <w:t>GB 5135.11-20</w:t>
      </w:r>
      <w:r>
        <w:rPr>
          <w:rFonts w:hint="eastAsia" w:ascii="宋体" w:hAnsi="宋体" w:eastAsia="宋体" w:cs="宋体"/>
          <w:kern w:val="2"/>
          <w:sz w:val="24"/>
          <w:szCs w:val="24"/>
          <w:highlight w:val="none"/>
          <w:lang w:val="en-US" w:eastAsia="zh-CN"/>
        </w:rPr>
        <w:t>06</w:t>
      </w:r>
      <w:r>
        <w:rPr>
          <w:rFonts w:hint="eastAsia" w:ascii="宋体" w:hAnsi="宋体" w:eastAsia="宋体" w:cs="宋体"/>
          <w:kern w:val="2"/>
          <w:sz w:val="24"/>
          <w:szCs w:val="24"/>
          <w:highlight w:val="none"/>
        </w:rPr>
        <w:t>《自动喷水灭火系统 第11部分：沟槽式管接件》标准。</w:t>
      </w:r>
    </w:p>
    <w:p w14:paraId="08942880">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配件内衬不锈钢层应为食品级304不锈钢，符合管材内衬层不锈钢的要求。</w:t>
      </w:r>
    </w:p>
    <w:p w14:paraId="43A2DF16">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螺纹复合管件应具有密封圈，满足CECS 205:2015《内衬（覆）不锈钢复合钢管管道工程技术规程》。</w:t>
      </w:r>
    </w:p>
    <w:p w14:paraId="3CAF37F9">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沟槽卡箍管件应提供钢管管端面防腐套或密封圈。且应满足T/CECS 205-2024《内衬（覆）不锈钢复合钢管管道工程技术规程》的要求。</w:t>
      </w:r>
    </w:p>
    <w:p w14:paraId="775F2C61">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密封垫圈应采用硅胶或三元乙丙生产，橡胶密封圈必须满足国家标准GB/T 21873-2008《橡胶密封件给、排水管及污水管道用接口密封圈材料规范》、GB/T 13295-2019《水及燃气用球墨铸铁管、管件</w:t>
      </w:r>
      <w:r>
        <w:rPr>
          <w:rFonts w:hint="eastAsia" w:ascii="宋体" w:hAnsi="宋体" w:eastAsia="宋体" w:cs="宋体"/>
          <w:kern w:val="2"/>
          <w:sz w:val="24"/>
          <w:szCs w:val="24"/>
          <w:highlight w:val="none"/>
          <w:lang w:val="en-US" w:eastAsia="zh-CN"/>
        </w:rPr>
        <w:t>和</w:t>
      </w:r>
      <w:r>
        <w:rPr>
          <w:rFonts w:hint="eastAsia" w:ascii="宋体" w:hAnsi="宋体" w:eastAsia="宋体" w:cs="宋体"/>
          <w:kern w:val="2"/>
          <w:sz w:val="24"/>
          <w:szCs w:val="24"/>
          <w:highlight w:val="none"/>
        </w:rPr>
        <w:t>附件》、GB5749-20</w:t>
      </w:r>
      <w:r>
        <w:rPr>
          <w:rFonts w:hint="eastAsia" w:ascii="宋体" w:hAnsi="宋体" w:eastAsia="宋体" w:cs="宋体"/>
          <w:kern w:val="2"/>
          <w:sz w:val="24"/>
          <w:szCs w:val="24"/>
          <w:highlight w:val="none"/>
          <w:lang w:val="en-US" w:eastAsia="zh-CN"/>
        </w:rPr>
        <w:t>22</w:t>
      </w:r>
      <w:r>
        <w:rPr>
          <w:rFonts w:hint="eastAsia" w:ascii="宋体" w:hAnsi="宋体" w:eastAsia="宋体" w:cs="宋体"/>
          <w:kern w:val="2"/>
          <w:sz w:val="24"/>
          <w:szCs w:val="24"/>
          <w:highlight w:val="none"/>
        </w:rPr>
        <w:t xml:space="preserve"> 《生活饮用水卫生标准》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GB/T 5750-2023 《生活饮用水标准检验方法》要求。</w:t>
      </w:r>
    </w:p>
    <w:p w14:paraId="51B45993">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8</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产品的卫生性能应符合</w:t>
      </w:r>
      <w:r>
        <w:rPr>
          <w:rFonts w:hint="eastAsia" w:ascii="宋体" w:hAnsi="宋体" w:eastAsia="宋体" w:cs="宋体"/>
          <w:bCs/>
          <w:kern w:val="0"/>
          <w:sz w:val="24"/>
          <w:szCs w:val="24"/>
          <w:highlight w:val="none"/>
          <w:lang w:val="en-US" w:eastAsia="zh-CN" w:bidi="ar"/>
        </w:rPr>
        <w:t>《生活饮用水输配水设备及防护材料卫生安全评价规范》(2001)</w:t>
      </w:r>
      <w:r>
        <w:rPr>
          <w:rFonts w:hint="eastAsia" w:ascii="宋体" w:hAnsi="宋体" w:eastAsia="宋体" w:cs="宋体"/>
          <w:kern w:val="2"/>
          <w:sz w:val="24"/>
          <w:szCs w:val="24"/>
          <w:highlight w:val="none"/>
        </w:rPr>
        <w:t>规定。</w:t>
      </w:r>
    </w:p>
    <w:p w14:paraId="1B6A29B9">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边界条件</w:t>
      </w:r>
    </w:p>
    <w:p w14:paraId="45D88E35">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输送介质：自来水厂出厂清水</w:t>
      </w:r>
    </w:p>
    <w:p w14:paraId="6724B504">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输送温度：1℃～40℃</w:t>
      </w:r>
    </w:p>
    <w:p w14:paraId="03E40380">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工作压力：2.0Mpa</w:t>
      </w:r>
    </w:p>
    <w:p w14:paraId="724F645C">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最高试验压力：2.5MPa‌</w:t>
      </w:r>
    </w:p>
    <w:p w14:paraId="1A4A0900">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水质容重：ρ=1000kg/m</w:t>
      </w:r>
      <w:r>
        <w:rPr>
          <w:rFonts w:hint="eastAsia" w:ascii="宋体" w:hAnsi="宋体" w:eastAsia="宋体" w:cs="宋体"/>
          <w:color w:val="auto"/>
          <w:sz w:val="24"/>
          <w:szCs w:val="24"/>
          <w:highlight w:val="none"/>
          <w:vertAlign w:val="superscript"/>
        </w:rPr>
        <w:t>3</w:t>
      </w:r>
    </w:p>
    <w:p w14:paraId="452EE3DE">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敷设方式：明敷，埋地或顶管，用于过河、过桥、过路等。</w:t>
      </w:r>
    </w:p>
    <w:p w14:paraId="64FB7536">
      <w:pPr>
        <w:pStyle w:val="32"/>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供货验收必须提交的材料</w:t>
      </w:r>
    </w:p>
    <w:p w14:paraId="11361AD1">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w:t>
      </w:r>
      <w:r>
        <w:rPr>
          <w:rFonts w:hint="eastAsia" w:ascii="宋体" w:hAnsi="宋体" w:eastAsia="宋体" w:cs="宋体"/>
          <w:sz w:val="24"/>
          <w:szCs w:val="24"/>
          <w:highlight w:val="none"/>
        </w:rPr>
        <w:t>钢管生产厂的钢管材质、性能、无损探伤等的检验报告，并加注厂家的生产批号证明；</w:t>
      </w:r>
    </w:p>
    <w:p w14:paraId="0DD8D615">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sz w:val="24"/>
          <w:szCs w:val="24"/>
          <w:highlight w:val="none"/>
        </w:rPr>
        <w:t>镀锌钢管生产厂的镀锌质量检验报告，并加注厂家的生产批号证明；</w:t>
      </w:r>
    </w:p>
    <w:p w14:paraId="7DB6205A">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w:t>
      </w:r>
      <w:r>
        <w:rPr>
          <w:rFonts w:hint="eastAsia" w:ascii="宋体" w:hAnsi="宋体" w:eastAsia="宋体" w:cs="宋体"/>
          <w:sz w:val="24"/>
          <w:szCs w:val="24"/>
          <w:highlight w:val="none"/>
        </w:rPr>
        <w:t>产品的卫生检验报告；</w:t>
      </w:r>
    </w:p>
    <w:p w14:paraId="73A1A14F">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w:t>
      </w:r>
      <w:r>
        <w:rPr>
          <w:rFonts w:hint="eastAsia" w:ascii="宋体" w:hAnsi="宋体" w:eastAsia="宋体" w:cs="宋体"/>
          <w:sz w:val="24"/>
          <w:szCs w:val="24"/>
          <w:highlight w:val="none"/>
        </w:rPr>
        <w:t>标记及包装</w:t>
      </w:r>
    </w:p>
    <w:p w14:paraId="621277F6">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所有检验合格的内衬不锈钢复合镀锌钢管，外壁都应喷有清晰持久的标记，标记至少应有以下内容：</w:t>
      </w:r>
    </w:p>
    <w:p w14:paraId="3107F223">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制造厂名称或商标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产品名称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公称口径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生产年份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执行标准号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产品批号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数量。</w:t>
      </w:r>
    </w:p>
    <w:p w14:paraId="48757175">
      <w:pPr>
        <w:pStyle w:val="17"/>
        <w:keepNext w:val="0"/>
        <w:keepLines w:val="0"/>
        <w:pageBreakBefore w:val="0"/>
        <w:widowControl w:val="0"/>
        <w:kinsoku/>
        <w:wordWrap/>
        <w:overflowPunct/>
        <w:topLinePunct w:val="0"/>
        <w:autoSpaceDE/>
        <w:autoSpaceDN/>
        <w:bidi w:val="0"/>
        <w:adjustRightInd/>
        <w:spacing w:after="0" w:line="440" w:lineRule="exact"/>
        <w:ind w:left="0" w:leftChars="0"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管件应放入洁净的塑料袋内并封口，装进纸质包装箱或者木质包装箱内，箱内应附有质量证明书；包装箱上应有产品名称、数量、重量、箱体尺寸、标记、制造厂名等字样。</w:t>
      </w:r>
    </w:p>
    <w:p w14:paraId="6DFA5454">
      <w:pPr>
        <w:pStyle w:val="32"/>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复合管尺寸及允许偏差</w:t>
      </w:r>
    </w:p>
    <w:p w14:paraId="69CE0F02">
      <w:pPr>
        <w:tabs>
          <w:tab w:val="left" w:pos="2225"/>
        </w:tabs>
        <w:ind w:left="-1159" w:leftChars="-552"/>
        <w:jc w:val="right"/>
        <w:rPr>
          <w:rFonts w:hint="eastAsia" w:ascii="宋体" w:hAnsi="宋体" w:eastAsia="宋体" w:cs="宋体"/>
          <w:color w:val="000000"/>
          <w:sz w:val="24"/>
        </w:rPr>
      </w:pPr>
      <w:r>
        <w:rPr>
          <w:rFonts w:hint="eastAsia" w:ascii="宋体" w:hAnsi="宋体" w:eastAsia="宋体" w:cs="宋体"/>
          <w:color w:val="000000"/>
          <w:sz w:val="22"/>
          <w:szCs w:val="22"/>
        </w:rPr>
        <w:t xml:space="preserve"> 单位为毫米</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45"/>
        <w:gridCol w:w="1131"/>
        <w:gridCol w:w="1513"/>
        <w:gridCol w:w="1312"/>
        <w:gridCol w:w="1338"/>
        <w:gridCol w:w="1218"/>
      </w:tblGrid>
      <w:tr w14:paraId="65D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4C72F4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公称尺寸</w:t>
            </w:r>
            <w:r>
              <w:rPr>
                <w:rFonts w:hint="eastAsia" w:ascii="宋体" w:hAnsi="宋体" w:eastAsia="宋体" w:cs="宋体"/>
                <w:b/>
                <w:bCs/>
                <w:i/>
                <w:color w:val="000000"/>
                <w:kern w:val="0"/>
                <w:szCs w:val="21"/>
              </w:rPr>
              <w:t>DN</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AC225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公称外径D</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27B104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外径偏差</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43D397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衬管</w:t>
            </w:r>
          </w:p>
          <w:p w14:paraId="018664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公称壁厚S₂</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DF4B42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衬管壁厚偏差</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2CB104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复合管公称壁厚</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A7802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复合管</w:t>
            </w:r>
          </w:p>
          <w:p w14:paraId="15AEC1D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壁厚偏差</w:t>
            </w:r>
          </w:p>
        </w:tc>
      </w:tr>
      <w:tr w14:paraId="39AB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504F9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36062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21.3</w:t>
            </w:r>
          </w:p>
        </w:tc>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736ACA8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±0.5</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DB10F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0.30</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7F673C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p w14:paraId="17E214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-0.05</w:t>
            </w:r>
          </w:p>
          <w:p w14:paraId="10876A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正偏差不限</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B6769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172622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p w14:paraId="1E35FA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r>
      <w:tr w14:paraId="7E90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19EE8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2540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26.9</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33813122">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396E6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D283E5C">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C0900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16260A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25AF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B2D3F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19CDF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33.7</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22378F6F">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2A0E2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2CB44BF">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EED5F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24E1A59C">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69C2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3F2398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49151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42.4</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23A32A24">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05B16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0.30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5F9B0F8">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3EF1B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9BE16E9">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7CB4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B7DA4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09CEFB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48.3</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76BA048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94CD2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407690F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A44BF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93B470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7E07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1C512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8369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60.3</w:t>
            </w:r>
          </w:p>
        </w:tc>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3454FE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p w14:paraId="3B950B7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E87AD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12CCB8F">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942E1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7A57B9C6">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0C4F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3496D4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09B1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76.1</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11EAE7B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18EF6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315C65C6">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69580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18EF8961">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2659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12971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6FF86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88.9</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19C91A3F">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55D5D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100D26A4">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4A1B8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442583B5">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598E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3209BB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26F873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114.3</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308C00D5">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59924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0.50</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456FC1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-0.10</w:t>
            </w:r>
          </w:p>
          <w:p w14:paraId="32A2EE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正偏差不限</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AD19A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268E7E8">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3271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A540E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9294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139.7</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7EFFB63">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BAAEC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0.50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21AF9394">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54EBA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4D5B9AF5">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1C33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FB000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124AC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168.3（165.1）</w:t>
            </w: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31B7F17C">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FC8A9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0.60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7FF0634F">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32496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4.5</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283FB2C5">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3E19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6DDB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DA7BF3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kern w:val="0"/>
                <w:szCs w:val="21"/>
              </w:rPr>
              <w:t>219.1</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453112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±0.75%</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3EF03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0.70</w:t>
            </w: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7AD79E47">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D9352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kern w:val="0"/>
                <w:szCs w:val="21"/>
              </w:rPr>
              <w:t>5.0</w:t>
            </w: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41B90257">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p>
        </w:tc>
      </w:tr>
      <w:tr w14:paraId="4911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61" w:type="dxa"/>
            <w:gridSpan w:val="7"/>
            <w:tcBorders>
              <w:top w:val="single" w:color="auto" w:sz="4" w:space="0"/>
              <w:left w:val="single" w:color="auto" w:sz="4" w:space="0"/>
              <w:bottom w:val="single" w:color="auto" w:sz="4" w:space="0"/>
              <w:right w:val="single" w:color="auto" w:sz="4" w:space="0"/>
            </w:tcBorders>
            <w:noWrap w:val="0"/>
            <w:vAlign w:val="center"/>
          </w:tcPr>
          <w:p w14:paraId="484AD4E2">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rPr>
            </w:pPr>
            <w:r>
              <w:rPr>
                <w:rFonts w:hint="eastAsia" w:ascii="宋体" w:hAnsi="宋体" w:eastAsia="宋体" w:cs="宋体"/>
                <w:color w:val="000000"/>
                <w:szCs w:val="21"/>
              </w:rPr>
              <w:t>注1：复合管采用焊接连接时，衬管厚度应不小于0.5mm。</w:t>
            </w:r>
          </w:p>
          <w:p w14:paraId="70B269B2">
            <w:pPr>
              <w:keepNext w:val="0"/>
              <w:keepLines w:val="0"/>
              <w:widowControl/>
              <w:suppressLineNumbers w:val="0"/>
              <w:spacing w:before="0" w:beforeAutospacing="0" w:after="0" w:afterAutospacing="0"/>
              <w:ind w:left="0" w:right="0"/>
              <w:jc w:val="left"/>
              <w:rPr>
                <w:rFonts w:hint="eastAsia" w:ascii="宋体" w:hAnsi="宋体" w:eastAsia="宋体" w:cs="宋体"/>
                <w:color w:val="000000"/>
                <w:szCs w:val="21"/>
                <w:lang w:eastAsia="zh-CN"/>
              </w:rPr>
            </w:pPr>
            <w:r>
              <w:rPr>
                <w:rFonts w:hint="eastAsia" w:ascii="宋体" w:hAnsi="宋体" w:eastAsia="宋体" w:cs="宋体"/>
                <w:szCs w:val="21"/>
              </w:rPr>
              <w:t>注2：DN150的钢管外径为165.1mm，仅用于采用55°锥管螺纹连接或沟槽连接时</w:t>
            </w:r>
            <w:r>
              <w:rPr>
                <w:rFonts w:hint="eastAsia" w:ascii="宋体" w:hAnsi="宋体" w:eastAsia="宋体" w:cs="宋体"/>
                <w:szCs w:val="21"/>
                <w:lang w:eastAsia="zh-CN"/>
              </w:rPr>
              <w:t>。</w:t>
            </w:r>
          </w:p>
        </w:tc>
      </w:tr>
    </w:tbl>
    <w:p w14:paraId="1CFEA362">
      <w:pPr>
        <w:keepNext w:val="0"/>
        <w:keepLines w:val="0"/>
        <w:pageBreakBefore w:val="0"/>
        <w:kinsoku/>
        <w:wordWrap/>
        <w:overflowPunct/>
        <w:topLinePunct w:val="0"/>
        <w:autoSpaceDE/>
        <w:autoSpaceDN/>
        <w:bidi w:val="0"/>
        <w:adjustRightInd w:val="0"/>
        <w:snapToGrid w:val="0"/>
        <w:spacing w:line="440" w:lineRule="exact"/>
        <w:ind w:firstLine="482" w:firstLineChars="200"/>
        <w:contextualSpacing/>
        <w:textAlignment w:val="auto"/>
        <w:rPr>
          <w:rFonts w:hint="eastAsia" w:ascii="仿宋" w:hAnsi="仿宋" w:eastAsia="仿宋" w:cs="仿宋"/>
          <w:color w:val="000000"/>
          <w:sz w:val="28"/>
          <w:szCs w:val="28"/>
          <w:highlight w:val="none"/>
        </w:rPr>
      </w:pPr>
      <w:r>
        <w:rPr>
          <w:rFonts w:hint="eastAsia" w:ascii="宋体" w:hAnsi="宋体" w:eastAsia="宋体" w:cs="宋体"/>
          <w:b/>
          <w:bCs w:val="0"/>
          <w:kern w:val="0"/>
          <w:sz w:val="24"/>
          <w:szCs w:val="24"/>
          <w:highlight w:val="none"/>
          <w:lang w:val="en-US" w:eastAsia="zh-CN" w:bidi="ar"/>
        </w:rPr>
        <w:t>（二）供货周期要求</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b w:val="0"/>
          <w:bCs w:val="0"/>
          <w:sz w:val="24"/>
          <w:szCs w:val="24"/>
          <w:highlight w:val="none"/>
          <w:lang w:val="en-US" w:eastAsia="zh-CN"/>
        </w:rPr>
        <w:t>1年。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14:paraId="3A78C982">
      <w:pPr>
        <w:keepNext w:val="0"/>
        <w:keepLines w:val="0"/>
        <w:pageBreakBefore w:val="0"/>
        <w:kinsoku/>
        <w:wordWrap/>
        <w:overflowPunct/>
        <w:topLinePunct w:val="0"/>
        <w:autoSpaceDE/>
        <w:autoSpaceDN/>
        <w:bidi w:val="0"/>
        <w:adjustRightInd w:val="0"/>
        <w:snapToGrid w:val="0"/>
        <w:spacing w:line="440" w:lineRule="exact"/>
        <w:ind w:firstLine="482" w:firstLineChars="200"/>
        <w:jc w:val="left"/>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b/>
          <w:bCs/>
          <w:kern w:val="0"/>
          <w:sz w:val="24"/>
          <w:szCs w:val="24"/>
          <w:highlight w:val="none"/>
          <w:lang w:val="en-US" w:eastAsia="zh-CN"/>
        </w:rPr>
        <w:t>（三）质保要求</w:t>
      </w:r>
      <w:r>
        <w:rPr>
          <w:rStyle w:val="29"/>
          <w:rFonts w:hint="eastAsia" w:ascii="宋体" w:hAnsi="宋体" w:eastAsia="宋体" w:cs="宋体"/>
          <w:kern w:val="0"/>
          <w:sz w:val="24"/>
          <w:szCs w:val="24"/>
          <w:highlight w:val="none"/>
          <w:lang w:val="en-US" w:eastAsia="zh-CN"/>
        </w:rPr>
        <w:t>：</w:t>
      </w:r>
      <w:r>
        <w:rPr>
          <w:rFonts w:hint="eastAsia" w:ascii="宋体" w:hAnsi="宋体" w:eastAsia="宋体" w:cs="宋体"/>
          <w:b w:val="0"/>
          <w:bCs w:val="0"/>
          <w:sz w:val="24"/>
          <w:szCs w:val="24"/>
          <w:highlight w:val="none"/>
          <w:lang w:val="en-US" w:eastAsia="zh-CN"/>
        </w:rPr>
        <w:t>报价单位报价时须承诺所供货物的免费质保期为2年（原厂质保期高于供应商承诺质保期的，按原厂质保期计算。自验收合格报告签字确认日起，开始进入质保期）。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Style w:val="29"/>
          <w:rFonts w:hint="eastAsia" w:ascii="宋体" w:hAnsi="宋体" w:eastAsia="宋体" w:cs="宋体"/>
          <w:b/>
          <w:bCs/>
          <w:kern w:val="0"/>
          <w:sz w:val="24"/>
          <w:szCs w:val="24"/>
          <w:highlight w:val="none"/>
          <w:lang w:val="en-US" w:eastAsia="zh-CN"/>
        </w:rPr>
      </w:pPr>
      <w:r>
        <w:rPr>
          <w:rStyle w:val="29"/>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kern w:val="0"/>
          <w:sz w:val="24"/>
          <w:szCs w:val="24"/>
          <w:highlight w:val="none"/>
        </w:rPr>
        <w:t>营业执照复印件</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市场询价</w:t>
      </w:r>
      <w:r>
        <w:rPr>
          <w:rStyle w:val="29"/>
          <w:rFonts w:hint="eastAsia" w:ascii="宋体" w:hAnsi="宋体" w:eastAsia="宋体" w:cs="宋体"/>
          <w:kern w:val="0"/>
          <w:sz w:val="24"/>
          <w:szCs w:val="24"/>
          <w:highlight w:val="none"/>
          <w:lang w:val="en-US" w:eastAsia="zh-CN"/>
        </w:rPr>
        <w:t>报价单等（详见第3条）</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年</w:t>
      </w: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月</w:t>
      </w:r>
      <w:r>
        <w:rPr>
          <w:rStyle w:val="29"/>
          <w:rFonts w:hint="eastAsia" w:ascii="宋体" w:hAnsi="宋体" w:eastAsia="宋体" w:cs="宋体"/>
          <w:kern w:val="0"/>
          <w:sz w:val="24"/>
          <w:szCs w:val="24"/>
          <w:highlight w:val="none"/>
          <w:lang w:val="en-US" w:eastAsia="zh-CN"/>
        </w:rPr>
        <w:t>28</w:t>
      </w:r>
      <w:bookmarkStart w:id="0" w:name="_GoBack"/>
      <w:bookmarkEnd w:id="0"/>
      <w:r>
        <w:rPr>
          <w:rStyle w:val="29"/>
          <w:rFonts w:hint="eastAsia" w:ascii="宋体" w:hAnsi="宋体" w:eastAsia="宋体" w:cs="宋体"/>
          <w:kern w:val="0"/>
          <w:sz w:val="24"/>
          <w:szCs w:val="24"/>
          <w:highlight w:val="none"/>
        </w:rPr>
        <w:t>日17:00前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报价费用说明：</w:t>
      </w:r>
    </w:p>
    <w:p w14:paraId="5FB40CA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lang w:val="en-US" w:eastAsia="zh-CN"/>
        </w:rPr>
      </w:pPr>
      <w:r>
        <w:rPr>
          <w:rStyle w:val="29"/>
          <w:rFonts w:hint="eastAsia" w:ascii="宋体" w:hAnsi="宋体" w:eastAsia="宋体" w:cs="宋体"/>
          <w:color w:val="auto"/>
          <w:kern w:val="0"/>
          <w:sz w:val="24"/>
          <w:szCs w:val="24"/>
          <w:highlight w:val="none"/>
        </w:rPr>
        <w:t>本项目采取固定单价报价，</w:t>
      </w:r>
      <w:r>
        <w:rPr>
          <w:rStyle w:val="29"/>
          <w:rFonts w:hint="eastAsia" w:ascii="宋体" w:hAnsi="宋体" w:eastAsia="宋体" w:cs="宋体"/>
          <w:color w:val="auto"/>
          <w:kern w:val="0"/>
          <w:sz w:val="24"/>
          <w:szCs w:val="24"/>
          <w:highlight w:val="none"/>
          <w:lang w:val="en-US" w:eastAsia="zh-CN"/>
        </w:rPr>
        <w:t>此报价</w:t>
      </w:r>
      <w:r>
        <w:rPr>
          <w:rStyle w:val="29"/>
          <w:rFonts w:hint="eastAsia" w:ascii="宋体" w:hAnsi="宋体" w:eastAsia="宋体" w:cs="宋体"/>
          <w:color w:val="auto"/>
          <w:kern w:val="0"/>
          <w:sz w:val="24"/>
          <w:szCs w:val="24"/>
          <w:highlight w:val="none"/>
        </w:rPr>
        <w:t>包括</w:t>
      </w:r>
      <w:r>
        <w:rPr>
          <w:rStyle w:val="29"/>
          <w:rFonts w:hint="eastAsia" w:ascii="宋体" w:hAnsi="宋体" w:eastAsia="宋体" w:cs="宋体"/>
          <w:color w:val="auto"/>
          <w:kern w:val="0"/>
          <w:sz w:val="24"/>
          <w:szCs w:val="24"/>
          <w:highlight w:val="none"/>
          <w:lang w:val="en-US" w:eastAsia="zh-CN"/>
        </w:rPr>
        <w:t>但不限于</w:t>
      </w:r>
      <w:r>
        <w:rPr>
          <w:rStyle w:val="29"/>
          <w:rFonts w:hint="eastAsia" w:ascii="宋体" w:hAnsi="宋体" w:eastAsia="宋体" w:cs="宋体"/>
          <w:color w:val="auto"/>
          <w:kern w:val="0"/>
          <w:sz w:val="24"/>
          <w:szCs w:val="24"/>
          <w:highlight w:val="none"/>
        </w:rPr>
        <w:t>货物的制作、运输（含上下人力费）、材料检测费</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一年不少于六次</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w:t>
      </w:r>
      <w:r>
        <w:rPr>
          <w:rStyle w:val="29"/>
          <w:rFonts w:hint="eastAsia" w:ascii="宋体" w:hAnsi="宋体" w:eastAsia="宋体" w:cs="宋体"/>
          <w:color w:val="auto"/>
          <w:kern w:val="0"/>
          <w:sz w:val="24"/>
          <w:szCs w:val="24"/>
          <w:highlight w:val="none"/>
          <w:lang w:val="en-US" w:eastAsia="zh-CN"/>
        </w:rPr>
        <w:t>报价单位</w:t>
      </w:r>
      <w:r>
        <w:rPr>
          <w:rStyle w:val="29"/>
          <w:rFonts w:hint="eastAsia" w:ascii="宋体" w:hAnsi="宋体" w:eastAsia="宋体" w:cs="宋体"/>
          <w:color w:val="auto"/>
          <w:kern w:val="0"/>
          <w:sz w:val="24"/>
          <w:szCs w:val="24"/>
          <w:highlight w:val="none"/>
        </w:rPr>
        <w:t>在报价时充分考虑各种因素（如税金、运输等各种费用）</w:t>
      </w:r>
      <w:r>
        <w:rPr>
          <w:rStyle w:val="29"/>
          <w:rFonts w:hint="eastAsia" w:ascii="宋体" w:hAnsi="宋体" w:eastAsia="宋体" w:cs="宋体"/>
          <w:color w:val="auto"/>
          <w:kern w:val="0"/>
          <w:sz w:val="24"/>
          <w:szCs w:val="24"/>
          <w:highlight w:val="none"/>
          <w:lang w:val="en-US" w:eastAsia="zh-CN"/>
        </w:rPr>
        <w:t>，报价单位在项目实施期间，不因市场价格波动和其他各种风险因素影响而变动，最终按实际采购数量结算。</w:t>
      </w:r>
    </w:p>
    <w:p w14:paraId="530588CC">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29"/>
          <w:rFonts w:hint="eastAsia" w:ascii="宋体" w:hAnsi="宋体" w:eastAsia="宋体" w:cs="宋体"/>
          <w:b/>
          <w:bCs/>
          <w:kern w:val="0"/>
          <w:sz w:val="24"/>
          <w:szCs w:val="24"/>
          <w:highlight w:val="none"/>
          <w:lang w:val="en-US" w:eastAsia="zh-CN"/>
        </w:rPr>
        <w:t>3、</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97DE9F">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（2）未被“信用中国”网站列入失信被执行人、重大税收违法案件当事人名单、政府采购严重违法失信行为记录名单（提供网页截图</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506A8C6">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提供投标产品生产厂家的涉水卫生许可批件(管材、管件、密封胶圈)复印件（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，证书须在有效期内；</w:t>
      </w:r>
    </w:p>
    <w:p w14:paraId="0ADEA3D9">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（4）提供的投标</w:t>
      </w:r>
      <w:r>
        <w:rPr>
          <w:rFonts w:hint="eastAsia" w:ascii="宋体" w:hAnsi="宋体" w:eastAsia="宋体" w:cs="宋体"/>
          <w:b/>
          <w:bCs/>
          <w:sz w:val="24"/>
          <w:szCs w:val="24"/>
          <w:highlight w:val="none"/>
          <w:lang w:val="en-US" w:eastAsia="zh-CN"/>
        </w:rPr>
        <w:t>产品</w:t>
      </w:r>
      <w:r>
        <w:rPr>
          <w:rFonts w:hint="default" w:ascii="宋体" w:hAnsi="宋体" w:eastAsia="宋体" w:cs="宋体"/>
          <w:b/>
          <w:bCs/>
          <w:sz w:val="24"/>
          <w:szCs w:val="24"/>
          <w:highlight w:val="none"/>
          <w:lang w:val="en-US" w:eastAsia="zh-CN"/>
        </w:rPr>
        <w:t>具有有效的</w:t>
      </w:r>
      <w:r>
        <w:rPr>
          <w:rFonts w:hint="eastAsia" w:ascii="宋体" w:hAnsi="宋体" w:eastAsia="宋体" w:cs="宋体"/>
          <w:b/>
          <w:bCs/>
          <w:sz w:val="24"/>
          <w:szCs w:val="24"/>
          <w:highlight w:val="none"/>
          <w:lang w:val="en-US" w:eastAsia="zh-CN"/>
        </w:rPr>
        <w:t>2025年以来质量监督检测中心出具的检验报告复印件（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w:t>
      </w:r>
    </w:p>
    <w:p w14:paraId="350BF842">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（5）市场询价报价单（格式详见附件）。</w:t>
      </w:r>
    </w:p>
    <w:p w14:paraId="3B474CE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4、拟定支付方式及期限：本次采购量为预估量，最终结算按每次实际采购量计，每次供货完毕并经验收合格后，收到供货方相应的增值税专用发票后30天内支付该批订单的90%货款，剩余10%的货款于合同期结束满2年后，经采购单位认可后一次性结清。若供货方未开具发票，采购方有权拒付相应款项，并不承担相应的逾期付款的违约责任。</w:t>
      </w:r>
    </w:p>
    <w:p w14:paraId="7D004DD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注：供货方申请付款的程序应符合采购方的财务规定。</w:t>
      </w:r>
    </w:p>
    <w:p w14:paraId="40EAAC75">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本次调研询价不接收质疑函，只接收对本项目的建议。</w:t>
      </w:r>
    </w:p>
    <w:p w14:paraId="3DC68737">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highlight w:val="none"/>
          <w:lang w:val="en-US" w:eastAsia="zh-CN"/>
        </w:rPr>
      </w:pPr>
    </w:p>
    <w:p w14:paraId="1F549E57">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highlight w:val="none"/>
          <w:lang w:val="en-US" w:eastAsia="zh-CN"/>
        </w:rPr>
      </w:pPr>
    </w:p>
    <w:p w14:paraId="586EF4E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2026年5月21日</w:t>
      </w:r>
    </w:p>
    <w:p w14:paraId="7DCC9E2C">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27DE0D48">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6D54C947">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294C3629">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02DD234F">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7DB95311">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21A17EB8">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default" w:ascii="宋体" w:hAnsi="宋体" w:eastAsia="宋体" w:cs="宋体"/>
          <w:kern w:val="0"/>
          <w:sz w:val="24"/>
          <w:szCs w:val="24"/>
          <w:highlight w:val="none"/>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DD9CD"/>
    <w:multiLevelType w:val="singleLevel"/>
    <w:tmpl w:val="3BEDD9C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055781"/>
    <w:rsid w:val="001A672A"/>
    <w:rsid w:val="002702DF"/>
    <w:rsid w:val="00355A7A"/>
    <w:rsid w:val="0037713F"/>
    <w:rsid w:val="00467337"/>
    <w:rsid w:val="005414D2"/>
    <w:rsid w:val="00A237DF"/>
    <w:rsid w:val="00BF0E19"/>
    <w:rsid w:val="00C51756"/>
    <w:rsid w:val="00CA31DF"/>
    <w:rsid w:val="01203FAE"/>
    <w:rsid w:val="013A07FE"/>
    <w:rsid w:val="01F571E8"/>
    <w:rsid w:val="02004145"/>
    <w:rsid w:val="0215722A"/>
    <w:rsid w:val="021708AC"/>
    <w:rsid w:val="0264611C"/>
    <w:rsid w:val="02783976"/>
    <w:rsid w:val="02ED1C6E"/>
    <w:rsid w:val="03237D85"/>
    <w:rsid w:val="03E312C3"/>
    <w:rsid w:val="03EC63FF"/>
    <w:rsid w:val="04167BE0"/>
    <w:rsid w:val="041C0406"/>
    <w:rsid w:val="049774B8"/>
    <w:rsid w:val="04A647CA"/>
    <w:rsid w:val="04D70E27"/>
    <w:rsid w:val="04FE1868"/>
    <w:rsid w:val="053E4A03"/>
    <w:rsid w:val="055210FB"/>
    <w:rsid w:val="060F014D"/>
    <w:rsid w:val="064D5921"/>
    <w:rsid w:val="066F6FA2"/>
    <w:rsid w:val="06C9698C"/>
    <w:rsid w:val="06DE411B"/>
    <w:rsid w:val="081F710D"/>
    <w:rsid w:val="08767CBA"/>
    <w:rsid w:val="08FA6E92"/>
    <w:rsid w:val="091B5A29"/>
    <w:rsid w:val="094445B2"/>
    <w:rsid w:val="0978425B"/>
    <w:rsid w:val="09813405"/>
    <w:rsid w:val="09CE1802"/>
    <w:rsid w:val="0A5D50D2"/>
    <w:rsid w:val="0ADA1283"/>
    <w:rsid w:val="0B837613"/>
    <w:rsid w:val="0BD51E39"/>
    <w:rsid w:val="0BE635A6"/>
    <w:rsid w:val="0C807FF6"/>
    <w:rsid w:val="0D18108F"/>
    <w:rsid w:val="0D9A7247"/>
    <w:rsid w:val="0DA770AD"/>
    <w:rsid w:val="0E377BE4"/>
    <w:rsid w:val="0EE36B7D"/>
    <w:rsid w:val="0F0243F5"/>
    <w:rsid w:val="0FBC1346"/>
    <w:rsid w:val="10545A22"/>
    <w:rsid w:val="108154AD"/>
    <w:rsid w:val="10D80401"/>
    <w:rsid w:val="11074842"/>
    <w:rsid w:val="1158509E"/>
    <w:rsid w:val="11627CCB"/>
    <w:rsid w:val="119C142F"/>
    <w:rsid w:val="11B1134F"/>
    <w:rsid w:val="123553DF"/>
    <w:rsid w:val="12F62DC0"/>
    <w:rsid w:val="13035AF1"/>
    <w:rsid w:val="13121E77"/>
    <w:rsid w:val="13455F77"/>
    <w:rsid w:val="136C3083"/>
    <w:rsid w:val="14C14ACF"/>
    <w:rsid w:val="14D24991"/>
    <w:rsid w:val="14F72E20"/>
    <w:rsid w:val="152B45C9"/>
    <w:rsid w:val="15B72A35"/>
    <w:rsid w:val="15C50828"/>
    <w:rsid w:val="16DE4DCF"/>
    <w:rsid w:val="17BB0135"/>
    <w:rsid w:val="18DA6CE0"/>
    <w:rsid w:val="18EB2C9C"/>
    <w:rsid w:val="19267830"/>
    <w:rsid w:val="1AED5BB7"/>
    <w:rsid w:val="1AFA0F74"/>
    <w:rsid w:val="1B0210CF"/>
    <w:rsid w:val="1B3E3557"/>
    <w:rsid w:val="1B542D7A"/>
    <w:rsid w:val="1B932687"/>
    <w:rsid w:val="1BCA6B98"/>
    <w:rsid w:val="1C4F709D"/>
    <w:rsid w:val="1CAC06B2"/>
    <w:rsid w:val="1CF06AD2"/>
    <w:rsid w:val="1E3B3D7D"/>
    <w:rsid w:val="1E652BA8"/>
    <w:rsid w:val="1E6C03DB"/>
    <w:rsid w:val="1E8B21FB"/>
    <w:rsid w:val="1E98466E"/>
    <w:rsid w:val="1F642E60"/>
    <w:rsid w:val="1FD71884"/>
    <w:rsid w:val="20B761AC"/>
    <w:rsid w:val="214967B1"/>
    <w:rsid w:val="219F63D1"/>
    <w:rsid w:val="2262713B"/>
    <w:rsid w:val="228D26CE"/>
    <w:rsid w:val="22FB3ADB"/>
    <w:rsid w:val="23294AEC"/>
    <w:rsid w:val="23A777BF"/>
    <w:rsid w:val="240E2A35"/>
    <w:rsid w:val="24194B61"/>
    <w:rsid w:val="244034F5"/>
    <w:rsid w:val="25B853D8"/>
    <w:rsid w:val="25E66CC5"/>
    <w:rsid w:val="25FB4BE7"/>
    <w:rsid w:val="266A16A4"/>
    <w:rsid w:val="270B5BBD"/>
    <w:rsid w:val="277B51EB"/>
    <w:rsid w:val="281423EE"/>
    <w:rsid w:val="2940272E"/>
    <w:rsid w:val="2940493E"/>
    <w:rsid w:val="29802F8C"/>
    <w:rsid w:val="2A924D25"/>
    <w:rsid w:val="2B54029B"/>
    <w:rsid w:val="2CC66F08"/>
    <w:rsid w:val="2CEF3FB8"/>
    <w:rsid w:val="2D240A4D"/>
    <w:rsid w:val="2D7E3C87"/>
    <w:rsid w:val="2E233F84"/>
    <w:rsid w:val="2E52196D"/>
    <w:rsid w:val="2ED5212C"/>
    <w:rsid w:val="2ED81174"/>
    <w:rsid w:val="2F1C5505"/>
    <w:rsid w:val="2F4D3614"/>
    <w:rsid w:val="2F566C69"/>
    <w:rsid w:val="2FB90FA6"/>
    <w:rsid w:val="300761B5"/>
    <w:rsid w:val="308710A4"/>
    <w:rsid w:val="30C90D87"/>
    <w:rsid w:val="30F33128"/>
    <w:rsid w:val="312C5B19"/>
    <w:rsid w:val="31706A24"/>
    <w:rsid w:val="322A22B1"/>
    <w:rsid w:val="32AD0A52"/>
    <w:rsid w:val="32EE540A"/>
    <w:rsid w:val="342D4B90"/>
    <w:rsid w:val="34321327"/>
    <w:rsid w:val="34C000EE"/>
    <w:rsid w:val="35B34278"/>
    <w:rsid w:val="35DF103A"/>
    <w:rsid w:val="36C56482"/>
    <w:rsid w:val="36F07953"/>
    <w:rsid w:val="36FD79CA"/>
    <w:rsid w:val="3701395E"/>
    <w:rsid w:val="37490E61"/>
    <w:rsid w:val="37C625ED"/>
    <w:rsid w:val="37D42E21"/>
    <w:rsid w:val="37F54B45"/>
    <w:rsid w:val="380B25BB"/>
    <w:rsid w:val="38341B11"/>
    <w:rsid w:val="383F24F1"/>
    <w:rsid w:val="3862667F"/>
    <w:rsid w:val="3885236D"/>
    <w:rsid w:val="38AC78FA"/>
    <w:rsid w:val="391E3890"/>
    <w:rsid w:val="3A9C43AB"/>
    <w:rsid w:val="3AD80D94"/>
    <w:rsid w:val="3AF066C3"/>
    <w:rsid w:val="3B314F27"/>
    <w:rsid w:val="3B5B5607"/>
    <w:rsid w:val="3BEA51F5"/>
    <w:rsid w:val="3C6A6406"/>
    <w:rsid w:val="3D2C0ADF"/>
    <w:rsid w:val="3E1E176E"/>
    <w:rsid w:val="3E202F15"/>
    <w:rsid w:val="3E9078C4"/>
    <w:rsid w:val="3F604F9A"/>
    <w:rsid w:val="404B6C28"/>
    <w:rsid w:val="405A40DF"/>
    <w:rsid w:val="41F540C0"/>
    <w:rsid w:val="420951A2"/>
    <w:rsid w:val="424A7A77"/>
    <w:rsid w:val="42875CFB"/>
    <w:rsid w:val="42C92294"/>
    <w:rsid w:val="43132246"/>
    <w:rsid w:val="43364C9F"/>
    <w:rsid w:val="440E1469"/>
    <w:rsid w:val="445175A7"/>
    <w:rsid w:val="44657B81"/>
    <w:rsid w:val="4496320C"/>
    <w:rsid w:val="45AC718B"/>
    <w:rsid w:val="45FA78C3"/>
    <w:rsid w:val="468A0B4E"/>
    <w:rsid w:val="47675677"/>
    <w:rsid w:val="47F72214"/>
    <w:rsid w:val="48230EA5"/>
    <w:rsid w:val="484A67E7"/>
    <w:rsid w:val="48F53072"/>
    <w:rsid w:val="4916491B"/>
    <w:rsid w:val="492B03C7"/>
    <w:rsid w:val="494621F7"/>
    <w:rsid w:val="4A6F2AFE"/>
    <w:rsid w:val="4B217CD3"/>
    <w:rsid w:val="4B5F25AA"/>
    <w:rsid w:val="4B685902"/>
    <w:rsid w:val="4BF61160"/>
    <w:rsid w:val="4C3F0C75"/>
    <w:rsid w:val="4C7F348C"/>
    <w:rsid w:val="4D6B792C"/>
    <w:rsid w:val="4D7B2007"/>
    <w:rsid w:val="4EA07161"/>
    <w:rsid w:val="4F25246D"/>
    <w:rsid w:val="4FCA0126"/>
    <w:rsid w:val="4FD01CC8"/>
    <w:rsid w:val="4FDC68BF"/>
    <w:rsid w:val="4FF05EC6"/>
    <w:rsid w:val="50DD4805"/>
    <w:rsid w:val="50EA7F43"/>
    <w:rsid w:val="50F06B23"/>
    <w:rsid w:val="512822A5"/>
    <w:rsid w:val="513973A6"/>
    <w:rsid w:val="51CB0999"/>
    <w:rsid w:val="522B6958"/>
    <w:rsid w:val="52304CA0"/>
    <w:rsid w:val="52E464FE"/>
    <w:rsid w:val="53857D58"/>
    <w:rsid w:val="542C436D"/>
    <w:rsid w:val="54F36E09"/>
    <w:rsid w:val="55621614"/>
    <w:rsid w:val="558820D0"/>
    <w:rsid w:val="55991722"/>
    <w:rsid w:val="55D371F6"/>
    <w:rsid w:val="55E71B19"/>
    <w:rsid w:val="562930C9"/>
    <w:rsid w:val="56871283"/>
    <w:rsid w:val="57346FE0"/>
    <w:rsid w:val="57A903B8"/>
    <w:rsid w:val="57AE2DC9"/>
    <w:rsid w:val="57CC0FC7"/>
    <w:rsid w:val="57E254BF"/>
    <w:rsid w:val="57F83763"/>
    <w:rsid w:val="588418A2"/>
    <w:rsid w:val="595639B1"/>
    <w:rsid w:val="59DB49CF"/>
    <w:rsid w:val="59EC3BA2"/>
    <w:rsid w:val="5A161A30"/>
    <w:rsid w:val="5A3B2D3C"/>
    <w:rsid w:val="5A683FFF"/>
    <w:rsid w:val="5A6C32DD"/>
    <w:rsid w:val="5A880124"/>
    <w:rsid w:val="5AA769EB"/>
    <w:rsid w:val="5B303F63"/>
    <w:rsid w:val="5B321A89"/>
    <w:rsid w:val="5B351579"/>
    <w:rsid w:val="5B4A6BB0"/>
    <w:rsid w:val="5BAA7871"/>
    <w:rsid w:val="5BFE2505"/>
    <w:rsid w:val="5C163158"/>
    <w:rsid w:val="5C3C5495"/>
    <w:rsid w:val="5C664E8E"/>
    <w:rsid w:val="5C877BB2"/>
    <w:rsid w:val="5CFA570E"/>
    <w:rsid w:val="5DBF29C4"/>
    <w:rsid w:val="5EEC63F2"/>
    <w:rsid w:val="5F5E0F4F"/>
    <w:rsid w:val="603E1CE2"/>
    <w:rsid w:val="60803296"/>
    <w:rsid w:val="60DB227B"/>
    <w:rsid w:val="60DF1D6B"/>
    <w:rsid w:val="61430B52"/>
    <w:rsid w:val="61E64314"/>
    <w:rsid w:val="61FF01EB"/>
    <w:rsid w:val="627D7A8D"/>
    <w:rsid w:val="62D85246"/>
    <w:rsid w:val="631F5A7F"/>
    <w:rsid w:val="662752EF"/>
    <w:rsid w:val="66DD5F97"/>
    <w:rsid w:val="68BA0755"/>
    <w:rsid w:val="68BE670A"/>
    <w:rsid w:val="68E65C61"/>
    <w:rsid w:val="693F2885"/>
    <w:rsid w:val="69782D5D"/>
    <w:rsid w:val="69D01A3D"/>
    <w:rsid w:val="6A06480C"/>
    <w:rsid w:val="6A927E4E"/>
    <w:rsid w:val="6A955B90"/>
    <w:rsid w:val="6AA33E09"/>
    <w:rsid w:val="6B342BA7"/>
    <w:rsid w:val="6BA53BB1"/>
    <w:rsid w:val="6BBE430B"/>
    <w:rsid w:val="6C2E004A"/>
    <w:rsid w:val="6CF54EC6"/>
    <w:rsid w:val="6D4D62AE"/>
    <w:rsid w:val="6D61605E"/>
    <w:rsid w:val="6D655CEE"/>
    <w:rsid w:val="6D983C19"/>
    <w:rsid w:val="6D9F0708"/>
    <w:rsid w:val="6DCC2A91"/>
    <w:rsid w:val="6E7D7067"/>
    <w:rsid w:val="6EA42846"/>
    <w:rsid w:val="6F8F0EBD"/>
    <w:rsid w:val="6FA36659"/>
    <w:rsid w:val="6FB438A3"/>
    <w:rsid w:val="701D01BA"/>
    <w:rsid w:val="701F75C9"/>
    <w:rsid w:val="703F45D4"/>
    <w:rsid w:val="708B5A6B"/>
    <w:rsid w:val="708F5A33"/>
    <w:rsid w:val="71072C9F"/>
    <w:rsid w:val="71E73175"/>
    <w:rsid w:val="724D47CD"/>
    <w:rsid w:val="736E263D"/>
    <w:rsid w:val="73CA7E92"/>
    <w:rsid w:val="73F3271F"/>
    <w:rsid w:val="73FE60E9"/>
    <w:rsid w:val="747E1443"/>
    <w:rsid w:val="74F23F66"/>
    <w:rsid w:val="75295853"/>
    <w:rsid w:val="755D5634"/>
    <w:rsid w:val="78E33F6B"/>
    <w:rsid w:val="794C38BE"/>
    <w:rsid w:val="79852FF6"/>
    <w:rsid w:val="7A2B7F7C"/>
    <w:rsid w:val="7A304F8E"/>
    <w:rsid w:val="7ACC2155"/>
    <w:rsid w:val="7C156B31"/>
    <w:rsid w:val="7C5E095D"/>
    <w:rsid w:val="7CB80EEC"/>
    <w:rsid w:val="7D105E6B"/>
    <w:rsid w:val="7DD66E82"/>
    <w:rsid w:val="7E4E1E86"/>
    <w:rsid w:val="7EA5419C"/>
    <w:rsid w:val="7ED20D09"/>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9"/>
    <w:next w:val="1"/>
    <w:autoRedefine/>
    <w:qFormat/>
    <w:uiPriority w:val="0"/>
    <w:pPr>
      <w:spacing w:after="120"/>
      <w:ind w:firstLine="420" w:firstLineChars="200"/>
    </w:pPr>
    <w:rPr>
      <w:rFonts w:ascii="Times New Roman" w:hAnsi="Times New Roman"/>
      <w:szCs w:val="20"/>
    </w:rPr>
  </w:style>
  <w:style w:type="character" w:styleId="20">
    <w:name w:val="Hyperlink"/>
    <w:basedOn w:val="19"/>
    <w:semiHidden/>
    <w:unhideWhenUsed/>
    <w:qFormat/>
    <w:uiPriority w:val="99"/>
    <w:rPr>
      <w:color w:val="0000FF"/>
      <w:u w:val="single"/>
    </w:r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19"/>
    <w:link w:val="2"/>
    <w:autoRedefine/>
    <w:qFormat/>
    <w:uiPriority w:val="9"/>
    <w:rPr>
      <w:b/>
      <w:bCs/>
      <w:kern w:val="44"/>
      <w:sz w:val="44"/>
      <w:szCs w:val="44"/>
    </w:rPr>
  </w:style>
  <w:style w:type="character" w:customStyle="1" w:styleId="23">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4">
    <w:name w:val="标题 3 Char"/>
    <w:basedOn w:val="19"/>
    <w:link w:val="4"/>
    <w:autoRedefine/>
    <w:qFormat/>
    <w:uiPriority w:val="9"/>
    <w:rPr>
      <w:b/>
      <w:bCs/>
      <w:sz w:val="32"/>
      <w:szCs w:val="32"/>
    </w:rPr>
  </w:style>
  <w:style w:type="character" w:customStyle="1" w:styleId="25">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6">
    <w:name w:val="标题 5 Char"/>
    <w:basedOn w:val="19"/>
    <w:link w:val="6"/>
    <w:autoRedefine/>
    <w:qFormat/>
    <w:uiPriority w:val="9"/>
    <w:rPr>
      <w:b/>
      <w:bCs/>
      <w:sz w:val="28"/>
      <w:szCs w:val="28"/>
    </w:rPr>
  </w:style>
  <w:style w:type="character" w:customStyle="1" w:styleId="27">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8">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19"/>
    <w:autoRedefine/>
    <w:qFormat/>
    <w:uiPriority w:val="0"/>
    <w:rPr>
      <w:rFonts w:hint="eastAsia" w:ascii="宋体" w:hAnsi="宋体" w:eastAsia="宋体" w:cs="宋体"/>
      <w:color w:val="000000"/>
      <w:sz w:val="20"/>
      <w:szCs w:val="20"/>
      <w:u w:val="none"/>
    </w:rPr>
  </w:style>
  <w:style w:type="character" w:customStyle="1" w:styleId="31">
    <w:name w:val="font41"/>
    <w:basedOn w:val="19"/>
    <w:qFormat/>
    <w:uiPriority w:val="0"/>
    <w:rPr>
      <w:rFonts w:ascii="Arial" w:hAnsi="Arial" w:cs="Arial"/>
      <w:color w:val="000000"/>
      <w:sz w:val="24"/>
      <w:szCs w:val="24"/>
      <w:u w:val="none"/>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2629</Words>
  <Characters>3053</Characters>
  <Lines>39</Lines>
  <Paragraphs>10</Paragraphs>
  <TotalTime>0</TotalTime>
  <ScaleCrop>false</ScaleCrop>
  <LinksUpToDate>false</LinksUpToDate>
  <CharactersWithSpaces>3086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2026-03-12T00:32:00Z</cp:lastPrinted>
  <dcterms:modified xsi:type="dcterms:W3CDTF">2026-05-21T01:45:30Z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