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启东市自来水厂有限公司球墨配件2025-2026年度采购项目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启东市自来水厂有限公司的启东市自来水厂有限公司球墨配件2025-2026年度采购项目即将实施，现就该项目进行市场询价调研。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一、采购需求：详见附件《启东市自来水厂有限公司球墨配件2025-2026年度采购项目市场询价表》。</w:t>
      </w:r>
    </w:p>
    <w:p w14:paraId="61316EBE">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20%作为违约金</w:t>
      </w:r>
      <w:r>
        <w:rPr>
          <w:rFonts w:hint="eastAsia" w:ascii="宋体" w:hAnsi="宋体" w:eastAsia="宋体" w:cs="宋体"/>
          <w:color w:val="auto"/>
          <w:sz w:val="24"/>
          <w:szCs w:val="24"/>
          <w:highlight w:val="none"/>
        </w:rPr>
        <w:t>。</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default"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2</w:t>
      </w:r>
      <w:r>
        <w:rPr>
          <w:rStyle w:val="32"/>
          <w:rFonts w:hint="eastAsia" w:ascii="宋体" w:hAnsi="宋体" w:eastAsia="宋体" w:cs="宋体"/>
          <w:color w:val="auto"/>
          <w:kern w:val="0"/>
          <w:sz w:val="24"/>
          <w:szCs w:val="24"/>
          <w:highlight w:val="none"/>
        </w:rPr>
        <w:t>.</w:t>
      </w:r>
      <w:r>
        <w:rPr>
          <w:rStyle w:val="32"/>
          <w:rFonts w:hint="eastAsia" w:ascii="宋体" w:hAnsi="宋体" w:eastAsia="宋体" w:cs="宋体"/>
          <w:color w:val="auto"/>
          <w:kern w:val="0"/>
          <w:sz w:val="24"/>
          <w:szCs w:val="24"/>
          <w:highlight w:val="none"/>
          <w:lang w:val="en-US" w:eastAsia="zh-CN"/>
        </w:rPr>
        <w:t>质保要求：2年。</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32"/>
          <w:rFonts w:hint="eastAsia" w:ascii="宋体" w:hAnsi="宋体" w:eastAsia="宋体" w:cs="宋体"/>
          <w:color w:val="auto"/>
          <w:kern w:val="0"/>
          <w:sz w:val="24"/>
          <w:szCs w:val="24"/>
          <w:highlight w:val="none"/>
          <w:lang w:val="en-US" w:eastAsia="zh-CN"/>
        </w:rPr>
        <w:t>3.</w:t>
      </w:r>
      <w:r>
        <w:rPr>
          <w:rStyle w:val="32"/>
          <w:rFonts w:hint="eastAsia" w:ascii="宋体" w:hAnsi="宋体" w:eastAsia="宋体" w:cs="宋体"/>
          <w:color w:val="auto"/>
          <w:kern w:val="0"/>
          <w:sz w:val="24"/>
          <w:szCs w:val="24"/>
          <w:highlight w:val="none"/>
        </w:rPr>
        <w:t>参与报价的单位需将</w:t>
      </w:r>
      <w:r>
        <w:rPr>
          <w:rStyle w:val="32"/>
          <w:rFonts w:hint="eastAsia" w:ascii="宋体" w:hAnsi="宋体" w:eastAsia="宋体" w:cs="宋体"/>
          <w:color w:val="auto"/>
          <w:kern w:val="0"/>
          <w:sz w:val="24"/>
          <w:szCs w:val="24"/>
          <w:highlight w:val="none"/>
          <w:lang w:val="en-US" w:eastAsia="zh-CN"/>
        </w:rPr>
        <w:t>有效的</w:t>
      </w:r>
      <w:r>
        <w:rPr>
          <w:rStyle w:val="32"/>
          <w:rFonts w:hint="eastAsia" w:ascii="宋体" w:hAnsi="宋体" w:eastAsia="宋体" w:cs="宋体"/>
          <w:b/>
          <w:bCs/>
          <w:color w:val="auto"/>
          <w:kern w:val="0"/>
          <w:sz w:val="24"/>
          <w:szCs w:val="24"/>
          <w:highlight w:val="none"/>
        </w:rPr>
        <w:t>营业执照复印件和市场询价</w:t>
      </w:r>
      <w:r>
        <w:rPr>
          <w:rStyle w:val="32"/>
          <w:rFonts w:hint="eastAsia" w:ascii="宋体" w:hAnsi="宋体" w:eastAsia="宋体" w:cs="宋体"/>
          <w:b/>
          <w:bCs/>
          <w:color w:val="auto"/>
          <w:kern w:val="0"/>
          <w:sz w:val="24"/>
          <w:szCs w:val="24"/>
          <w:highlight w:val="none"/>
          <w:lang w:val="en-US" w:eastAsia="zh-CN"/>
        </w:rPr>
        <w:t>报价单</w:t>
      </w:r>
      <w:r>
        <w:rPr>
          <w:rStyle w:val="32"/>
          <w:rFonts w:hint="eastAsia" w:ascii="宋体" w:hAnsi="宋体" w:eastAsia="宋体" w:cs="宋体"/>
          <w:color w:val="auto"/>
          <w:kern w:val="0"/>
          <w:sz w:val="24"/>
          <w:szCs w:val="24"/>
          <w:highlight w:val="none"/>
          <w:lang w:val="en-US" w:eastAsia="zh-CN"/>
        </w:rPr>
        <w:t>（含汇总表及分项报价表）</w:t>
      </w:r>
      <w:r>
        <w:rPr>
          <w:rStyle w:val="32"/>
          <w:rFonts w:hint="eastAsia" w:ascii="宋体" w:hAnsi="宋体" w:eastAsia="宋体" w:cs="宋体"/>
          <w:color w:val="auto"/>
          <w:kern w:val="0"/>
          <w:sz w:val="24"/>
          <w:szCs w:val="24"/>
          <w:highlight w:val="none"/>
        </w:rPr>
        <w:t>于202</w:t>
      </w:r>
      <w:r>
        <w:rPr>
          <w:rStyle w:val="32"/>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color w:val="auto"/>
          <w:kern w:val="0"/>
          <w:sz w:val="24"/>
          <w:szCs w:val="24"/>
          <w:highlight w:val="none"/>
        </w:rPr>
        <w:t>年</w:t>
      </w:r>
      <w:r>
        <w:rPr>
          <w:rStyle w:val="32"/>
          <w:rFonts w:hint="eastAsia" w:ascii="宋体" w:hAnsi="宋体" w:eastAsia="宋体" w:cs="宋体"/>
          <w:color w:val="auto"/>
          <w:kern w:val="0"/>
          <w:sz w:val="24"/>
          <w:szCs w:val="24"/>
          <w:highlight w:val="none"/>
          <w:lang w:val="en-US" w:eastAsia="zh-CN"/>
        </w:rPr>
        <w:t>9</w:t>
      </w:r>
      <w:r>
        <w:rPr>
          <w:rStyle w:val="32"/>
          <w:rFonts w:hint="eastAsia" w:ascii="宋体" w:hAnsi="宋体" w:eastAsia="宋体" w:cs="宋体"/>
          <w:color w:val="auto"/>
          <w:kern w:val="0"/>
          <w:sz w:val="24"/>
          <w:szCs w:val="24"/>
          <w:highlight w:val="none"/>
        </w:rPr>
        <w:t>月</w:t>
      </w:r>
      <w:r>
        <w:rPr>
          <w:rStyle w:val="32"/>
          <w:rFonts w:hint="eastAsia" w:ascii="宋体" w:hAnsi="宋体" w:eastAsia="宋体" w:cs="宋体"/>
          <w:color w:val="auto"/>
          <w:kern w:val="0"/>
          <w:sz w:val="24"/>
          <w:szCs w:val="24"/>
          <w:highlight w:val="none"/>
          <w:lang w:val="en-US" w:eastAsia="zh-CN"/>
        </w:rPr>
        <w:t>29</w:t>
      </w:r>
      <w:r>
        <w:rPr>
          <w:rStyle w:val="32"/>
          <w:rFonts w:hint="eastAsia" w:ascii="宋体" w:hAnsi="宋体" w:eastAsia="宋体" w:cs="宋体"/>
          <w:color w:val="auto"/>
          <w:kern w:val="0"/>
          <w:sz w:val="24"/>
          <w:szCs w:val="24"/>
          <w:highlight w:val="none"/>
        </w:rPr>
        <w:t>日17:00</w:t>
      </w:r>
      <w:r>
        <w:rPr>
          <w:rStyle w:val="32"/>
          <w:rFonts w:hint="eastAsia" w:ascii="宋体" w:hAnsi="宋体" w:eastAsia="宋体" w:cs="宋体"/>
          <w:color w:val="auto"/>
          <w:kern w:val="0"/>
          <w:sz w:val="24"/>
          <w:szCs w:val="24"/>
          <w:highlight w:val="none"/>
        </w:rPr>
        <w:t>前</w:t>
      </w:r>
      <w:r>
        <w:rPr>
          <w:rStyle w:val="32"/>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江苏天宏华信工程投资管理咨询有限公司（启东市南苑西路1168号国动产业园2号楼402室）</w:t>
      </w:r>
      <w:r>
        <w:rPr>
          <w:rFonts w:hint="eastAsia" w:ascii="宋体" w:hAnsi="宋体" w:eastAsia="宋体" w:cs="宋体"/>
          <w:color w:val="auto"/>
          <w:sz w:val="24"/>
          <w:szCs w:val="24"/>
          <w:highlight w:val="none"/>
        </w:rPr>
        <w:t>，</w:t>
      </w:r>
      <w:r>
        <w:rPr>
          <w:rStyle w:val="32"/>
          <w:rFonts w:hint="eastAsia" w:ascii="宋体" w:hAnsi="宋体" w:eastAsia="宋体" w:cs="宋体"/>
          <w:color w:val="auto"/>
          <w:sz w:val="24"/>
          <w:szCs w:val="24"/>
        </w:rPr>
        <w:t>联系人：</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u w:val="single"/>
          <w:lang w:eastAsia="zh-CN"/>
        </w:rPr>
        <w:t>杨女士</w:t>
      </w:r>
      <w:r>
        <w:rPr>
          <w:rStyle w:val="32"/>
          <w:rFonts w:hint="eastAsia" w:ascii="宋体" w:hAnsi="宋体" w:eastAsia="宋体" w:cs="宋体"/>
          <w:color w:val="auto"/>
          <w:sz w:val="24"/>
          <w:szCs w:val="24"/>
        </w:rPr>
        <w:t>，联系电话：</w:t>
      </w:r>
      <w:r>
        <w:rPr>
          <w:rStyle w:val="32"/>
          <w:rFonts w:hint="eastAsia" w:ascii="宋体" w:hAnsi="宋体" w:eastAsia="宋体" w:cs="宋体"/>
          <w:color w:val="auto"/>
          <w:sz w:val="24"/>
          <w:szCs w:val="24"/>
          <w:u w:val="single"/>
          <w:lang w:val="en-US" w:eastAsia="zh-CN"/>
        </w:rPr>
        <w:t>0513-83248588</w:t>
      </w:r>
      <w:r>
        <w:rPr>
          <w:rStyle w:val="32"/>
          <w:rFonts w:hint="eastAsia" w:ascii="宋体" w:hAnsi="宋体" w:eastAsia="宋体" w:cs="宋体"/>
          <w:color w:val="auto"/>
          <w:sz w:val="24"/>
          <w:szCs w:val="24"/>
        </w:rPr>
        <w:t>,电子邮箱地址为：</w:t>
      </w:r>
      <w:r>
        <w:rPr>
          <w:rStyle w:val="32"/>
          <w:rFonts w:hint="eastAsia" w:ascii="宋体" w:hAnsi="宋体" w:eastAsia="宋体" w:cs="宋体"/>
          <w:color w:val="auto"/>
          <w:sz w:val="24"/>
          <w:szCs w:val="24"/>
          <w:u w:val="single"/>
          <w:lang w:val="en-US" w:eastAsia="zh-CN"/>
        </w:rPr>
        <w:t>240876395@qq.com</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lang w:val="en-US" w:eastAsia="zh-CN"/>
        </w:rPr>
        <w:t>4</w:t>
      </w:r>
      <w:r>
        <w:rPr>
          <w:rStyle w:val="32"/>
          <w:rFonts w:hint="eastAsia" w:ascii="宋体" w:hAnsi="宋体" w:eastAsia="宋体" w:cs="宋体"/>
          <w:color w:val="auto"/>
          <w:kern w:val="0"/>
          <w:sz w:val="24"/>
          <w:szCs w:val="24"/>
          <w:highlight w:val="none"/>
        </w:rPr>
        <w:t>.报价费用说明：</w:t>
      </w:r>
    </w:p>
    <w:p w14:paraId="7BAD2A4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（1）本项目采取固定单价报价，各投标人每项的分项综合单价报价与分项最高限价相比的下浮率必须一致，否则作无效标处理。</w:t>
      </w:r>
    </w:p>
    <w:p w14:paraId="593F784C">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32"/>
          <w:rFonts w:hint="eastAsia" w:ascii="宋体" w:hAnsi="宋体" w:eastAsia="宋体" w:cs="宋体"/>
          <w:b/>
          <w:bCs/>
          <w:color w:val="auto"/>
          <w:kern w:val="0"/>
          <w:sz w:val="24"/>
          <w:szCs w:val="24"/>
          <w:highlight w:val="none"/>
          <w:lang w:val="en-US" w:eastAsia="zh-CN"/>
        </w:rPr>
      </w:pPr>
      <w:r>
        <w:rPr>
          <w:rStyle w:val="32"/>
          <w:rFonts w:hint="eastAsia" w:ascii="宋体" w:hAnsi="宋体" w:eastAsia="宋体" w:cs="宋体"/>
          <w:b/>
          <w:bCs/>
          <w:color w:val="auto"/>
          <w:kern w:val="0"/>
          <w:sz w:val="24"/>
          <w:szCs w:val="24"/>
          <w:highlight w:val="none"/>
          <w:lang w:val="en-US" w:eastAsia="zh-CN"/>
        </w:rPr>
        <w:t>（2）</w:t>
      </w:r>
      <w:r>
        <w:rPr>
          <w:rStyle w:val="32"/>
          <w:rFonts w:hint="eastAsia" w:ascii="宋体" w:hAnsi="宋体" w:eastAsia="宋体" w:cs="宋体"/>
          <w:b/>
          <w:bCs/>
          <w:color w:val="auto"/>
          <w:kern w:val="0"/>
          <w:sz w:val="24"/>
          <w:szCs w:val="24"/>
          <w:highlight w:val="none"/>
          <w:lang w:eastAsia="zh-CN"/>
        </w:rPr>
        <w:t>投标报价保留小数点后两位小数，否则作无效标处理。</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3）本项目采取固定单价报价，此报价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color w:val="auto"/>
          <w:kern w:val="0"/>
          <w:sz w:val="24"/>
          <w:szCs w:val="24"/>
          <w:highlight w:val="none"/>
        </w:rPr>
        <w:t>.</w:t>
      </w:r>
      <w:r>
        <w:rPr>
          <w:rStyle w:val="32"/>
          <w:rFonts w:hint="eastAsia" w:ascii="宋体" w:hAnsi="宋体" w:eastAsia="宋体" w:cs="宋体"/>
          <w:color w:val="auto"/>
          <w:kern w:val="0"/>
          <w:sz w:val="24"/>
          <w:szCs w:val="24"/>
          <w:highlight w:val="none"/>
          <w:lang w:val="en-US" w:eastAsia="zh-CN"/>
        </w:rPr>
        <w:t>营业执照及所有报价单必须加盖报价单位公章。</w:t>
      </w:r>
    </w:p>
    <w:p w14:paraId="12E1A68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6.拟定支付方式及期限：本次采购量为预估量，最终结算按每次实际采购量计，每次供货完毕并经验收合格后，收到卖方相应的增值税专用发票后30天内支付该批订单的90%货款，合同期内所供货物的余款10%于合同期结束满2年后，经采购单位认可后一次性结清。</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注：成交供应商申请付款的程序应符合采购人的财务规定。</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color w:val="auto"/>
          <w:sz w:val="24"/>
          <w:szCs w:val="24"/>
          <w:highlight w:val="none"/>
        </w:rPr>
      </w:pPr>
      <w:r>
        <w:rPr>
          <w:rStyle w:val="32"/>
          <w:rFonts w:hint="eastAsia" w:ascii="宋体" w:hAnsi="宋体" w:eastAsia="宋体" w:cs="宋体"/>
          <w:color w:val="auto"/>
          <w:kern w:val="0"/>
          <w:sz w:val="24"/>
          <w:szCs w:val="24"/>
          <w:highlight w:val="none"/>
          <w:lang w:val="en-US" w:eastAsia="zh-CN"/>
        </w:rPr>
        <w:t>7</w:t>
      </w:r>
      <w:r>
        <w:rPr>
          <w:rStyle w:val="32"/>
          <w:rFonts w:hint="eastAsia" w:ascii="宋体" w:hAnsi="宋体" w:eastAsia="宋体" w:cs="宋体"/>
          <w:color w:val="auto"/>
          <w:kern w:val="0"/>
          <w:sz w:val="24"/>
          <w:szCs w:val="24"/>
          <w:highlight w:val="none"/>
        </w:rPr>
        <w:t>.其他：</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1</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请报价单位认真核算、如实报价，如发现虚假报价的，该单位今后将</w:t>
      </w:r>
      <w:r>
        <w:rPr>
          <w:rStyle w:val="32"/>
          <w:rFonts w:hint="eastAsia" w:ascii="宋体" w:hAnsi="宋体" w:eastAsia="宋体" w:cs="宋体"/>
          <w:color w:val="auto"/>
          <w:kern w:val="0"/>
          <w:sz w:val="24"/>
          <w:szCs w:val="24"/>
          <w:highlight w:val="none"/>
          <w:lang w:val="en-US" w:eastAsia="zh-CN"/>
        </w:rPr>
        <w:t>记入</w:t>
      </w:r>
      <w:r>
        <w:rPr>
          <w:rStyle w:val="32"/>
          <w:rFonts w:hint="eastAsia" w:ascii="宋体" w:hAnsi="宋体" w:eastAsia="宋体" w:cs="宋体"/>
          <w:color w:val="auto"/>
          <w:kern w:val="0"/>
          <w:sz w:val="24"/>
          <w:szCs w:val="24"/>
          <w:highlight w:val="none"/>
        </w:rPr>
        <w:t>采购</w:t>
      </w:r>
      <w:r>
        <w:rPr>
          <w:rStyle w:val="32"/>
          <w:rFonts w:hint="eastAsia" w:ascii="宋体" w:hAnsi="宋体" w:eastAsia="宋体" w:cs="宋体"/>
          <w:color w:val="auto"/>
          <w:kern w:val="0"/>
          <w:sz w:val="24"/>
          <w:szCs w:val="24"/>
          <w:highlight w:val="none"/>
          <w:lang w:val="en-US" w:eastAsia="zh-CN"/>
        </w:rPr>
        <w:t>人招标市场的黑名单</w:t>
      </w:r>
      <w:r>
        <w:rPr>
          <w:rStyle w:val="32"/>
          <w:rFonts w:hint="eastAsia" w:ascii="宋体" w:hAnsi="宋体" w:eastAsia="宋体" w:cs="宋体"/>
          <w:color w:val="auto"/>
          <w:kern w:val="0"/>
          <w:sz w:val="24"/>
          <w:szCs w:val="24"/>
          <w:highlight w:val="none"/>
        </w:rPr>
        <w:t>；</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2</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本次报价仅作为市场调研用，因此价格仅供参考；</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3</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2"/>
          <w:rFonts w:hint="eastAsia" w:ascii="宋体" w:hAnsi="宋体" w:eastAsia="宋体" w:cs="宋体"/>
          <w:color w:val="auto"/>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2"/>
          <w:rFonts w:hint="eastAsia" w:ascii="宋体" w:hAnsi="宋体" w:eastAsia="宋体" w:cs="宋体"/>
          <w:color w:val="auto"/>
          <w:kern w:val="0"/>
          <w:sz w:val="24"/>
          <w:szCs w:val="24"/>
          <w:highlight w:val="none"/>
          <w:lang w:val="en-US" w:eastAsia="zh-CN" w:bidi="ar-SA"/>
        </w:rPr>
      </w:pPr>
      <w:r>
        <w:rPr>
          <w:rStyle w:val="32"/>
          <w:rFonts w:hint="eastAsia" w:ascii="宋体" w:hAnsi="宋体" w:eastAsia="宋体" w:cs="宋体"/>
          <w:color w:val="auto"/>
          <w:kern w:val="0"/>
          <w:sz w:val="24"/>
          <w:szCs w:val="24"/>
          <w:highlight w:val="none"/>
          <w:lang w:val="en-US" w:eastAsia="zh-CN" w:bidi="ar-SA"/>
        </w:rPr>
        <w:t>2025年9月23日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6FA8B498">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0"/>
          <w:szCs w:val="30"/>
        </w:rPr>
      </w:pPr>
      <w:r>
        <w:rPr>
          <w:rFonts w:hint="eastAsia" w:ascii="宋体" w:hAnsi="宋体" w:cs="宋体"/>
          <w:b/>
          <w:sz w:val="30"/>
          <w:szCs w:val="30"/>
          <w:lang w:val="en-US" w:eastAsia="zh-CN"/>
        </w:rPr>
        <w:t>启东市自来水厂有限公司球墨配件2025-2026年度采购项目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20"/>
        <w:tblW w:w="93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466"/>
        <w:gridCol w:w="1572"/>
        <w:gridCol w:w="768"/>
        <w:gridCol w:w="756"/>
        <w:gridCol w:w="852"/>
        <w:gridCol w:w="876"/>
        <w:gridCol w:w="912"/>
        <w:gridCol w:w="1690"/>
      </w:tblGrid>
      <w:tr w14:paraId="2916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C0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4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07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7B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16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201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w:t>
            </w:r>
          </w:p>
          <w:p w14:paraId="3BBE628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108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w:t>
            </w:r>
          </w:p>
          <w:p w14:paraId="7F5352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        （元）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99F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               （元）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6F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7B81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90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1</w:t>
            </w:r>
          </w:p>
        </w:tc>
        <w:tc>
          <w:tcPr>
            <w:tcW w:w="1466" w:type="dxa"/>
            <w:tcBorders>
              <w:top w:val="single" w:color="000000" w:sz="4" w:space="0"/>
              <w:left w:val="single" w:color="000000" w:sz="4" w:space="0"/>
              <w:bottom w:val="single" w:color="000000" w:sz="4" w:space="0"/>
              <w:right w:val="nil"/>
            </w:tcBorders>
            <w:shd w:val="clear" w:color="auto" w:fill="auto"/>
            <w:vAlign w:val="center"/>
          </w:tcPr>
          <w:p w14:paraId="1825C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球墨配件</w:t>
            </w:r>
          </w:p>
        </w:tc>
        <w:tc>
          <w:tcPr>
            <w:tcW w:w="1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D7E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DN100-DN600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65F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E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300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1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F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0" w:type="dxa"/>
            <w:vMerge w:val="restart"/>
            <w:tcBorders>
              <w:top w:val="single" w:color="000000" w:sz="4" w:space="0"/>
              <w:left w:val="single" w:color="000000" w:sz="4" w:space="0"/>
              <w:right w:val="single" w:color="000000" w:sz="4" w:space="0"/>
            </w:tcBorders>
            <w:shd w:val="clear" w:color="auto" w:fill="auto"/>
            <w:noWrap/>
            <w:vAlign w:val="center"/>
          </w:tcPr>
          <w:p w14:paraId="44592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含13%增值税、含运费、含卸货费等全部费用</w:t>
            </w:r>
          </w:p>
        </w:tc>
      </w:tr>
      <w:tr w14:paraId="1074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2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2</w:t>
            </w:r>
          </w:p>
        </w:tc>
        <w:tc>
          <w:tcPr>
            <w:tcW w:w="1466" w:type="dxa"/>
            <w:tcBorders>
              <w:top w:val="single" w:color="000000" w:sz="4" w:space="0"/>
              <w:left w:val="single" w:color="000000" w:sz="4" w:space="0"/>
              <w:bottom w:val="single" w:color="000000" w:sz="4" w:space="0"/>
              <w:right w:val="nil"/>
            </w:tcBorders>
            <w:shd w:val="clear" w:color="auto" w:fill="auto"/>
            <w:vAlign w:val="center"/>
          </w:tcPr>
          <w:p w14:paraId="03F1F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球墨配件</w:t>
            </w:r>
          </w:p>
        </w:tc>
        <w:tc>
          <w:tcPr>
            <w:tcW w:w="1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95D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DN700-DN1400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35C6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25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4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BD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A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0" w:type="dxa"/>
            <w:vMerge w:val="continue"/>
            <w:tcBorders>
              <w:left w:val="single" w:color="000000" w:sz="4" w:space="0"/>
              <w:right w:val="single" w:color="000000" w:sz="4" w:space="0"/>
            </w:tcBorders>
            <w:shd w:val="clear" w:color="auto" w:fill="auto"/>
            <w:noWrap/>
            <w:vAlign w:val="center"/>
          </w:tcPr>
          <w:p w14:paraId="12798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2C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9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85823E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42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882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                   小写：</w:t>
            </w:r>
          </w:p>
        </w:tc>
      </w:tr>
      <w:tr w14:paraId="5A1C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1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7095">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eastAsia="宋体" w:cs="宋体"/>
                <w:b/>
                <w:bCs/>
                <w:i w:val="0"/>
                <w:iCs w:val="0"/>
                <w:color w:val="auto"/>
                <w:kern w:val="0"/>
                <w:sz w:val="24"/>
                <w:szCs w:val="24"/>
                <w:highlight w:val="none"/>
                <w:u w:val="none"/>
                <w:lang w:val="en-US" w:eastAsia="zh-CN" w:bidi="ar"/>
              </w:rPr>
              <w:t>供应商的资格要求</w:t>
            </w:r>
          </w:p>
          <w:p w14:paraId="43631D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1、符合《中华人民共和国政府采购法》第二十二条规定；</w:t>
            </w:r>
          </w:p>
          <w:p w14:paraId="43C361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2、未被“信用中国”、“中国政府采购网”、“信用江苏”网站列入失信被执行人、重大税收违法案件当事人名单、政府采购严重违法失信行为记录名单(提供网页截图)；</w:t>
            </w:r>
          </w:p>
          <w:p w14:paraId="2067C0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3、对于参加报价的供应商，须具有合法的营业执照；</w:t>
            </w:r>
          </w:p>
          <w:p w14:paraId="29843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4、投标人提供的投标产品有自2023年以来省级及以上检测部门的检测报告原件扫描件；</w:t>
            </w:r>
          </w:p>
          <w:p w14:paraId="01349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5、报价人提供投标产品的</w:t>
            </w:r>
            <w:r>
              <w:rPr>
                <w:rFonts w:hint="eastAsia" w:ascii="宋体" w:hAnsi="宋体" w:eastAsia="宋体" w:cs="宋体"/>
                <w:b/>
                <w:bCs/>
                <w:i w:val="0"/>
                <w:iCs w:val="0"/>
                <w:color w:val="auto"/>
                <w:kern w:val="0"/>
                <w:sz w:val="24"/>
                <w:szCs w:val="24"/>
                <w:highlight w:val="none"/>
                <w:u w:val="none"/>
                <w:lang w:val="en-US" w:eastAsia="zh-CN" w:bidi="ar"/>
              </w:rPr>
              <w:t>涉及饮用水卫生安全的国产产品卫生许可证，球墨配件应符合《生活饮用水输配水设备及防护材料卫生安全评价规范》的检测报告（提供卫生许可证和检测报告原件扫描件）</w:t>
            </w:r>
          </w:p>
          <w:p w14:paraId="3F276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6、报价人提供投标产品的质量管理体系认证证书和环境管理体系认证证书原件扫描件，且证书须在有效期内并覆盖本招标产品；</w:t>
            </w:r>
          </w:p>
          <w:p w14:paraId="08FFA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7、报价人有自2023年1月1日以来（以合同签订时间为准）有类似的供货业绩（提供相对应的合同及发票原件扫描件加盖公章）。</w:t>
            </w:r>
          </w:p>
          <w:p w14:paraId="4176CFF9">
            <w:pPr>
              <w:pStyle w:val="19"/>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二、相关技术要求:</w:t>
            </w:r>
          </w:p>
          <w:p w14:paraId="194162A4">
            <w:pPr>
              <w:keepNext w:val="0"/>
              <w:keepLines w:val="0"/>
              <w:pageBreakBefore w:val="0"/>
              <w:widowControl w:val="0"/>
              <w:numPr>
                <w:ilvl w:val="0"/>
                <w:numId w:val="0"/>
              </w:numPr>
              <w:kinsoku/>
              <w:wordWrap/>
              <w:overflowPunct/>
              <w:topLinePunct w:val="0"/>
              <w:autoSpaceDN/>
              <w:bidi w:val="0"/>
              <w:snapToGrid/>
              <w:spacing w:line="240" w:lineRule="auto"/>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1、产品符合标准</w:t>
            </w:r>
          </w:p>
          <w:p w14:paraId="3F42F147">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（1）符合ISO2531/EN545标准，DN200及以下口径公称压力为PN16，眼距为PN10,其余压力为PN10。</w:t>
            </w:r>
          </w:p>
          <w:p w14:paraId="6476C666">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（2）管件外表面喷锌（ISO8179标准）并涂沥青漆，内层涂覆水泥砂浆内衬（ISO4179标准）。</w:t>
            </w:r>
          </w:p>
          <w:p w14:paraId="4CBCFAEA">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（3）《水及燃气管道用球墨铸铁管、管件和附件》GB/T 13295-2019。</w:t>
            </w:r>
          </w:p>
          <w:p w14:paraId="02BB6955">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（4）《生活饮用水配水设备及防护材料的安全性评价标准》GB/T 17219</w:t>
            </w:r>
            <w:r>
              <w:rPr>
                <w:rFonts w:hint="eastAsia" w:ascii="宋体" w:hAnsi="宋体" w:eastAsia="宋体" w:cs="宋体"/>
                <w:color w:val="000000"/>
                <w:sz w:val="24"/>
                <w:szCs w:val="24"/>
                <w:highlight w:val="none"/>
                <w:lang w:val="en-US" w:eastAsia="zh-CN"/>
              </w:rPr>
              <w:t>-1998</w:t>
            </w:r>
            <w:r>
              <w:rPr>
                <w:rFonts w:hint="eastAsia" w:ascii="宋体" w:hAnsi="宋体" w:eastAsia="宋体" w:cs="宋体"/>
                <w:color w:val="000000"/>
                <w:sz w:val="24"/>
                <w:szCs w:val="24"/>
                <w:highlight w:val="none"/>
              </w:rPr>
              <w:t>。</w:t>
            </w:r>
          </w:p>
          <w:p w14:paraId="240389A7">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（5）《球墨铸铁管外表面锌涂层 第2部分：带终饰层的富锌涂料涂层》GB/T 17456.2-2010。</w:t>
            </w:r>
          </w:p>
          <w:p w14:paraId="0794472A">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 球墨铸铁管管件的尺寸、外型、重量应符合GB/T 13295-2019标准的规定。</w:t>
            </w:r>
          </w:p>
          <w:p w14:paraId="3DED02C8">
            <w:pPr>
              <w:adjustRightInd w:val="0"/>
              <w:snapToGrid w:val="0"/>
              <w:spacing w:line="240" w:lineRule="auto"/>
              <w:contextualSpacing/>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2、产品应达到如下要求：</w:t>
            </w:r>
          </w:p>
          <w:p w14:paraId="37B750C6">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（1）采用球墨铸铁原料制成，材质要求：铁素体含量：≥85%；渗碳体含量：≤1%；球化率：≥80%；石磨球圆整度：1-3级。</w:t>
            </w:r>
          </w:p>
          <w:p w14:paraId="395E1A6E">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（2）壁厚、压力必须符合相应标准。</w:t>
            </w:r>
          </w:p>
          <w:p w14:paraId="08318180">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（3）生产技术要求按国家建材相关标准。</w:t>
            </w:r>
          </w:p>
          <w:p w14:paraId="3B1C36E1">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（4）化学成分、力学性能、几何尺寸必须按照国家相应规定执行。</w:t>
            </w:r>
          </w:p>
          <w:p w14:paraId="35D88EE4">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（5）各配件误差值按行业规定：弯头重量公差范围±7%，其他产品重量公差范围±5%。</w:t>
            </w:r>
          </w:p>
          <w:p w14:paraId="0D5E3C1C">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（6）卫生性能好，无毒、不含重金属添加剂、无结垢层、不滋生细菌。</w:t>
            </w:r>
          </w:p>
          <w:p w14:paraId="51CB39BE">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（7）应具有良好的抗腐蚀性能。可耐多种化学物的腐蚀，无电化学腐蚀，不发生腐烂、生锈，也不会促进藻类、细菌或真菌生长，具有良好的抗腐蚀性能。</w:t>
            </w:r>
          </w:p>
          <w:p w14:paraId="6270AD8C">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（8）内壁光滑，摩擦系数极低，压力损失小，通水能力高，耐磨性好。</w:t>
            </w:r>
          </w:p>
          <w:p w14:paraId="6F6EC1F0">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（9）柔韧性好，抗冲击强度高，耐强震、扭曲。</w:t>
            </w:r>
          </w:p>
          <w:p w14:paraId="36A20E0C">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（10）运输、安装便捷，焊接工艺简单，施工维护方便。</w:t>
            </w:r>
          </w:p>
          <w:p w14:paraId="1C283976">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（11）球墨铸铁管件外防腐要求执行GB/T 17459标准(《球墨铸铁管沥青涂层》，配件外表面应用沥青质涂料涂覆。承口内侧做红色快干防腐漆或防锈漆处理。涂前管体表面应光洁、无铁锈、铁皮及杂质。涂后，涂层表而光洁、均匀、粘附牢固，不得因气候变化而发生异常。沥青涂层平均厚度大于0.07mm)。</w:t>
            </w:r>
          </w:p>
          <w:p w14:paraId="6CD5FA0A">
            <w:pPr>
              <w:adjustRightInd w:val="0"/>
              <w:snapToGrid w:val="0"/>
              <w:spacing w:line="240" w:lineRule="auto"/>
              <w:contextualSpacing/>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3、技术要求</w:t>
            </w:r>
          </w:p>
          <w:p w14:paraId="281C46C3">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产品的生产、质量、检验均应符合《水及燃气管道用球墨铸铁管、管件和附件》（GB/T13295-2019）国家标准</w:t>
            </w:r>
          </w:p>
          <w:p w14:paraId="04C355A5">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3.2 产品卫生标准：GB/T 17219-1998。 </w:t>
            </w:r>
          </w:p>
          <w:p w14:paraId="4BA8A504">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球铁管件壁厚级别：K12。</w:t>
            </w:r>
          </w:p>
          <w:p w14:paraId="4E94083A">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管口对接形式：T形滑入式柔性接口或法兰式接口，法兰压力等级1.0MPa</w:t>
            </w:r>
          </w:p>
          <w:p w14:paraId="3EA2AD1E">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严禁采用手工砂型工艺。</w:t>
            </w:r>
          </w:p>
          <w:p w14:paraId="77063EF4">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必须经过退火热处理。</w:t>
            </w:r>
          </w:p>
          <w:p w14:paraId="1B6C93A8">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每一只管件必须进行水压试验，不得作任何修补或焊补。最小试验压力：DN 80mm～300mm，1.5Mpa；最小试验压力下至少保压10秒</w:t>
            </w:r>
            <w:bookmarkStart w:id="0" w:name="_GoBack"/>
            <w:bookmarkEnd w:id="0"/>
            <w:r>
              <w:rPr>
                <w:rFonts w:hint="eastAsia" w:ascii="宋体" w:hAnsi="宋体" w:eastAsia="宋体" w:cs="宋体"/>
                <w:color w:val="000000"/>
                <w:sz w:val="24"/>
                <w:szCs w:val="24"/>
                <w:highlight w:val="none"/>
              </w:rPr>
              <w:t>，试验后无渗漏、出汗或其他缺陷。</w:t>
            </w:r>
          </w:p>
          <w:p w14:paraId="160390F5">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 管件力学性能必须符合：拉伸强度≥420Mpa，伸长率≥5%，布式硬度值≤250HBW。</w:t>
            </w:r>
          </w:p>
          <w:p w14:paraId="4CD05361">
            <w:pPr>
              <w:adjustRightInd w:val="0"/>
              <w:snapToGrid w:val="0"/>
              <w:spacing w:line="240" w:lineRule="auto"/>
              <w:contextualSpacing/>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4、一般要求</w:t>
            </w:r>
          </w:p>
          <w:p w14:paraId="4510953E">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管件应有清晰持久的标记。标记至少应有以下内容：</w:t>
            </w:r>
          </w:p>
          <w:p w14:paraId="686ABF6C">
            <w:pPr>
              <w:adjustRightInd w:val="0"/>
              <w:snapToGrid w:val="0"/>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制造厂名称或商标；②炉号；③球墨铸铁材质；④公称口径DN；⑤ 法兰PN值；⑥ 插口插入深度标识；⑦ 执行的国家标准；⑧ 产品批号。</w:t>
            </w:r>
          </w:p>
          <w:p w14:paraId="273F82B7">
            <w:pPr>
              <w:adjustRightInd w:val="0"/>
              <w:snapToGrid w:val="0"/>
              <w:spacing w:line="240" w:lineRule="auto"/>
              <w:contextualSpacing/>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以上前五项要铸出或冷冲，后三项可用任何方法进行喷印或打印。</w:t>
            </w:r>
          </w:p>
          <w:p w14:paraId="70DC0A8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具体要求以招标文件要求为准。</w:t>
            </w:r>
          </w:p>
          <w:p w14:paraId="46CB67C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三、本项目招标不接受联合体投标。</w:t>
            </w:r>
          </w:p>
          <w:p w14:paraId="2C44AF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四、本项目参考品牌：</w:t>
            </w:r>
            <w:r>
              <w:rPr>
                <w:rFonts w:hint="eastAsia" w:ascii="宋体" w:hAnsi="宋体" w:eastAsia="宋体" w:cs="宋体"/>
                <w:b/>
                <w:bCs/>
                <w:i w:val="0"/>
                <w:iCs w:val="0"/>
                <w:color w:val="auto"/>
                <w:kern w:val="0"/>
                <w:sz w:val="24"/>
                <w:szCs w:val="24"/>
                <w:highlight w:val="none"/>
                <w:u w:val="none"/>
                <w:lang w:val="en-US" w:eastAsia="zh-CN" w:bidi="ar"/>
              </w:rPr>
              <w:t>新XINXING兴(芜湖)、泫氏SUNS(高平)、繁发(安徽繁昌)、辰龙(江苏徐州)、丰鑫管件（辽宁）</w:t>
            </w:r>
            <w:r>
              <w:rPr>
                <w:rFonts w:hint="eastAsia" w:ascii="宋体" w:hAnsi="宋体" w:eastAsia="宋体" w:cs="宋体"/>
                <w:b/>
                <w:bCs/>
                <w:i w:val="0"/>
                <w:iCs w:val="0"/>
                <w:color w:val="auto"/>
                <w:kern w:val="0"/>
                <w:sz w:val="24"/>
                <w:szCs w:val="24"/>
                <w:u w:val="none"/>
                <w:lang w:val="en-US" w:eastAsia="zh-CN" w:bidi="ar"/>
              </w:rPr>
              <w:t>，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w:t>
            </w:r>
            <w:r>
              <w:rPr>
                <w:rFonts w:hint="eastAsia" w:ascii="宋体" w:hAnsi="宋体" w:eastAsia="宋体" w:cs="宋体"/>
                <w:b/>
                <w:bCs/>
                <w:i w:val="0"/>
                <w:iCs w:val="0"/>
                <w:color w:val="000000"/>
                <w:kern w:val="0"/>
                <w:sz w:val="24"/>
                <w:szCs w:val="24"/>
                <w:u w:val="none"/>
                <w:lang w:val="en-US" w:eastAsia="zh-CN" w:bidi="ar"/>
              </w:rPr>
              <w:t xml:space="preserve">拟投货物的技术资料及相关证明材料复印件并加盖公章与报价文件、资格要求的证明材料，以邮寄方式到达指定接收地址为准（江苏天宏华信工程投资管理咨询有限公司（启东市南苑西路1168号国动产业园2号楼402室），联系人：杨女士，联系电话：0513-83248588）。    </w:t>
            </w:r>
          </w:p>
        </w:tc>
      </w:tr>
    </w:tbl>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34182"/>
    <w:rsid w:val="01F36FCC"/>
    <w:rsid w:val="02004145"/>
    <w:rsid w:val="0215722A"/>
    <w:rsid w:val="03A522CC"/>
    <w:rsid w:val="03EC63FF"/>
    <w:rsid w:val="04167BE0"/>
    <w:rsid w:val="04FE1868"/>
    <w:rsid w:val="055210FB"/>
    <w:rsid w:val="05723828"/>
    <w:rsid w:val="060F014D"/>
    <w:rsid w:val="0639341C"/>
    <w:rsid w:val="06C9698C"/>
    <w:rsid w:val="06DE411B"/>
    <w:rsid w:val="081E138C"/>
    <w:rsid w:val="081F710D"/>
    <w:rsid w:val="08767CBA"/>
    <w:rsid w:val="09CE1802"/>
    <w:rsid w:val="0ADA1283"/>
    <w:rsid w:val="0B837613"/>
    <w:rsid w:val="0C807FF6"/>
    <w:rsid w:val="0C922E30"/>
    <w:rsid w:val="0D18108F"/>
    <w:rsid w:val="0D9A7247"/>
    <w:rsid w:val="0ECA2A51"/>
    <w:rsid w:val="0EE36B7D"/>
    <w:rsid w:val="0F0243F5"/>
    <w:rsid w:val="0F6618B1"/>
    <w:rsid w:val="0FD0740D"/>
    <w:rsid w:val="108154AD"/>
    <w:rsid w:val="1087349F"/>
    <w:rsid w:val="10BD60DC"/>
    <w:rsid w:val="111E6007"/>
    <w:rsid w:val="11CE6168"/>
    <w:rsid w:val="12EA747F"/>
    <w:rsid w:val="13121E77"/>
    <w:rsid w:val="13455F77"/>
    <w:rsid w:val="137941FB"/>
    <w:rsid w:val="143C0654"/>
    <w:rsid w:val="14AA41AE"/>
    <w:rsid w:val="152A4FA3"/>
    <w:rsid w:val="15B72A35"/>
    <w:rsid w:val="15C50828"/>
    <w:rsid w:val="162D1670"/>
    <w:rsid w:val="16A21E8F"/>
    <w:rsid w:val="16FE7A76"/>
    <w:rsid w:val="183C6614"/>
    <w:rsid w:val="190E196B"/>
    <w:rsid w:val="19AB17F4"/>
    <w:rsid w:val="1A850712"/>
    <w:rsid w:val="1AB10CD6"/>
    <w:rsid w:val="1B932687"/>
    <w:rsid w:val="1B9F513A"/>
    <w:rsid w:val="1BCA6B98"/>
    <w:rsid w:val="1CAC06B2"/>
    <w:rsid w:val="1E8B21FB"/>
    <w:rsid w:val="1FF00B97"/>
    <w:rsid w:val="221847B8"/>
    <w:rsid w:val="2262713B"/>
    <w:rsid w:val="228D26CE"/>
    <w:rsid w:val="22CA2753"/>
    <w:rsid w:val="23A328E1"/>
    <w:rsid w:val="240E2A35"/>
    <w:rsid w:val="245876FD"/>
    <w:rsid w:val="24BA1822"/>
    <w:rsid w:val="251A293E"/>
    <w:rsid w:val="257C6C31"/>
    <w:rsid w:val="25DC55DB"/>
    <w:rsid w:val="25F86C3B"/>
    <w:rsid w:val="26396774"/>
    <w:rsid w:val="26F51311"/>
    <w:rsid w:val="270B5BBD"/>
    <w:rsid w:val="274517C9"/>
    <w:rsid w:val="27B57E67"/>
    <w:rsid w:val="27E64767"/>
    <w:rsid w:val="2940272E"/>
    <w:rsid w:val="295308A3"/>
    <w:rsid w:val="2976130F"/>
    <w:rsid w:val="2A1306E4"/>
    <w:rsid w:val="2B54029B"/>
    <w:rsid w:val="2BA53061"/>
    <w:rsid w:val="2C766B0B"/>
    <w:rsid w:val="2CEF3FB8"/>
    <w:rsid w:val="2EA874E8"/>
    <w:rsid w:val="2ED5212C"/>
    <w:rsid w:val="2FA63021"/>
    <w:rsid w:val="30552FD2"/>
    <w:rsid w:val="309803CF"/>
    <w:rsid w:val="30C90D87"/>
    <w:rsid w:val="30F33128"/>
    <w:rsid w:val="322A22B1"/>
    <w:rsid w:val="33120C97"/>
    <w:rsid w:val="33E5680D"/>
    <w:rsid w:val="346F257B"/>
    <w:rsid w:val="34BE4316"/>
    <w:rsid w:val="36026B8F"/>
    <w:rsid w:val="36F07953"/>
    <w:rsid w:val="37DC268D"/>
    <w:rsid w:val="3885236D"/>
    <w:rsid w:val="391E3890"/>
    <w:rsid w:val="399E0FFD"/>
    <w:rsid w:val="3AF066C3"/>
    <w:rsid w:val="3B057B84"/>
    <w:rsid w:val="3BEA51F5"/>
    <w:rsid w:val="3C0733A8"/>
    <w:rsid w:val="3C0C6D3C"/>
    <w:rsid w:val="3C6A6406"/>
    <w:rsid w:val="3CD22011"/>
    <w:rsid w:val="3D2C0ADF"/>
    <w:rsid w:val="3D633667"/>
    <w:rsid w:val="3E07730C"/>
    <w:rsid w:val="3E1A36CE"/>
    <w:rsid w:val="3E1E176E"/>
    <w:rsid w:val="3E202F15"/>
    <w:rsid w:val="3E9078C4"/>
    <w:rsid w:val="3E9E0AF7"/>
    <w:rsid w:val="3F147BD8"/>
    <w:rsid w:val="3FD55619"/>
    <w:rsid w:val="404B6C28"/>
    <w:rsid w:val="40C63B34"/>
    <w:rsid w:val="40E65AF9"/>
    <w:rsid w:val="420951A2"/>
    <w:rsid w:val="424A7A77"/>
    <w:rsid w:val="42875CFB"/>
    <w:rsid w:val="42C92294"/>
    <w:rsid w:val="42F9198D"/>
    <w:rsid w:val="43132246"/>
    <w:rsid w:val="43754D8C"/>
    <w:rsid w:val="43D92990"/>
    <w:rsid w:val="43F73926"/>
    <w:rsid w:val="442F0C74"/>
    <w:rsid w:val="443A2E39"/>
    <w:rsid w:val="452F3C74"/>
    <w:rsid w:val="454930C6"/>
    <w:rsid w:val="45FA78C3"/>
    <w:rsid w:val="4700649A"/>
    <w:rsid w:val="47675677"/>
    <w:rsid w:val="48077256"/>
    <w:rsid w:val="48F53072"/>
    <w:rsid w:val="494621F7"/>
    <w:rsid w:val="4A8F0C0B"/>
    <w:rsid w:val="4B9761E7"/>
    <w:rsid w:val="4C1B0BC7"/>
    <w:rsid w:val="4C4458EE"/>
    <w:rsid w:val="4C7F348C"/>
    <w:rsid w:val="4C9457EE"/>
    <w:rsid w:val="4CA44F5B"/>
    <w:rsid w:val="4CDC0FCC"/>
    <w:rsid w:val="4DCA28A4"/>
    <w:rsid w:val="4F25246D"/>
    <w:rsid w:val="50EA7F43"/>
    <w:rsid w:val="50F06B23"/>
    <w:rsid w:val="513973A6"/>
    <w:rsid w:val="5153495F"/>
    <w:rsid w:val="51ED6A4B"/>
    <w:rsid w:val="52304CA0"/>
    <w:rsid w:val="526D1A50"/>
    <w:rsid w:val="52DA5D1C"/>
    <w:rsid w:val="53C8523F"/>
    <w:rsid w:val="54212AF2"/>
    <w:rsid w:val="54F36E09"/>
    <w:rsid w:val="55612C3A"/>
    <w:rsid w:val="558820D0"/>
    <w:rsid w:val="559612BE"/>
    <w:rsid w:val="564176C4"/>
    <w:rsid w:val="57346FE0"/>
    <w:rsid w:val="574D5E7B"/>
    <w:rsid w:val="57F83763"/>
    <w:rsid w:val="58024C20"/>
    <w:rsid w:val="59494735"/>
    <w:rsid w:val="59DB49CF"/>
    <w:rsid w:val="5A3B2D3C"/>
    <w:rsid w:val="5A683FFF"/>
    <w:rsid w:val="5AA769EB"/>
    <w:rsid w:val="5AD74C21"/>
    <w:rsid w:val="5AF102AB"/>
    <w:rsid w:val="5B1D51DA"/>
    <w:rsid w:val="5B25478F"/>
    <w:rsid w:val="5B546ADF"/>
    <w:rsid w:val="5C664E8E"/>
    <w:rsid w:val="5DBF29C4"/>
    <w:rsid w:val="5EA0416F"/>
    <w:rsid w:val="5ED66352"/>
    <w:rsid w:val="5F5E0F4F"/>
    <w:rsid w:val="5F7354A7"/>
    <w:rsid w:val="60DD2497"/>
    <w:rsid w:val="62111F83"/>
    <w:rsid w:val="62B14348"/>
    <w:rsid w:val="62D85246"/>
    <w:rsid w:val="631F5A7F"/>
    <w:rsid w:val="63800070"/>
    <w:rsid w:val="63F97E40"/>
    <w:rsid w:val="640E6385"/>
    <w:rsid w:val="641454FD"/>
    <w:rsid w:val="64B20D48"/>
    <w:rsid w:val="66026746"/>
    <w:rsid w:val="662752EF"/>
    <w:rsid w:val="66DD5F97"/>
    <w:rsid w:val="67896ED4"/>
    <w:rsid w:val="68BA0755"/>
    <w:rsid w:val="68E65C61"/>
    <w:rsid w:val="693F2885"/>
    <w:rsid w:val="69BC72C7"/>
    <w:rsid w:val="6B342BA7"/>
    <w:rsid w:val="6CF54EC6"/>
    <w:rsid w:val="6D967C55"/>
    <w:rsid w:val="6D983C19"/>
    <w:rsid w:val="6F1E6154"/>
    <w:rsid w:val="6F8F0EBD"/>
    <w:rsid w:val="6FB438A3"/>
    <w:rsid w:val="701F75C9"/>
    <w:rsid w:val="703F45D4"/>
    <w:rsid w:val="708F5A33"/>
    <w:rsid w:val="71072C9F"/>
    <w:rsid w:val="719800FE"/>
    <w:rsid w:val="719C4374"/>
    <w:rsid w:val="724D47CD"/>
    <w:rsid w:val="7289234D"/>
    <w:rsid w:val="72D554BB"/>
    <w:rsid w:val="736E263D"/>
    <w:rsid w:val="7373088D"/>
    <w:rsid w:val="73F3271F"/>
    <w:rsid w:val="74A2409E"/>
    <w:rsid w:val="75062D14"/>
    <w:rsid w:val="751B37E9"/>
    <w:rsid w:val="755D5634"/>
    <w:rsid w:val="75CD4430"/>
    <w:rsid w:val="75DF4EC9"/>
    <w:rsid w:val="7638442C"/>
    <w:rsid w:val="765F0367"/>
    <w:rsid w:val="76E43B18"/>
    <w:rsid w:val="77AF3849"/>
    <w:rsid w:val="78095EBE"/>
    <w:rsid w:val="78937BBC"/>
    <w:rsid w:val="792C41C6"/>
    <w:rsid w:val="79852FF6"/>
    <w:rsid w:val="7ACC2155"/>
    <w:rsid w:val="7B7425F2"/>
    <w:rsid w:val="7C156B31"/>
    <w:rsid w:val="7C5E095D"/>
    <w:rsid w:val="7CAC1AA7"/>
    <w:rsid w:val="7CB80EEC"/>
    <w:rsid w:val="7CC32ED8"/>
    <w:rsid w:val="7D105E6B"/>
    <w:rsid w:val="7D1C36F2"/>
    <w:rsid w:val="7DB32A41"/>
    <w:rsid w:val="7DD66E82"/>
    <w:rsid w:val="7F0B578D"/>
    <w:rsid w:val="7F13156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annotation text"/>
    <w:basedOn w:val="1"/>
    <w:semiHidden/>
    <w:unhideWhenUsed/>
    <w:qFormat/>
    <w:uiPriority w:val="99"/>
    <w:pPr>
      <w:jc w:val="left"/>
    </w:p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next w:val="17"/>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
    <w:name w:val="*正文"/>
    <w:basedOn w:val="1"/>
    <w:qFormat/>
    <w:uiPriority w:val="0"/>
    <w:rPr>
      <w:rFonts w:ascii="宋体" w:hAnsi="宋体"/>
      <w:kern w:val="0"/>
      <w:szCs w:val="24"/>
    </w:rPr>
  </w:style>
  <w:style w:type="paragraph" w:styleId="18">
    <w:name w:val="Body Text First Indent"/>
    <w:basedOn w:val="2"/>
    <w:next w:val="19"/>
    <w:autoRedefine/>
    <w:unhideWhenUsed/>
    <w:qFormat/>
    <w:uiPriority w:val="99"/>
    <w:pPr>
      <w:ind w:firstLine="420" w:firstLineChars="100"/>
    </w:pPr>
  </w:style>
  <w:style w:type="paragraph" w:styleId="19">
    <w:name w:val="Body Text First Indent 2"/>
    <w:basedOn w:val="11"/>
    <w:autoRedefine/>
    <w:qFormat/>
    <w:uiPriority w:val="0"/>
    <w:pPr>
      <w:spacing w:after="120"/>
      <w:ind w:firstLine="420" w:firstLineChars="200"/>
    </w:pPr>
    <w:rPr>
      <w:rFonts w:ascii="Times New Roman" w:hAnsi="Times New Roman"/>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basedOn w:val="22"/>
    <w:link w:val="3"/>
    <w:autoRedefine/>
    <w:qFormat/>
    <w:uiPriority w:val="9"/>
    <w:rPr>
      <w:b/>
      <w:bCs/>
      <w:kern w:val="44"/>
      <w:sz w:val="44"/>
      <w:szCs w:val="44"/>
    </w:rPr>
  </w:style>
  <w:style w:type="character" w:customStyle="1" w:styleId="26">
    <w:name w:val="标题 2 Char"/>
    <w:basedOn w:val="22"/>
    <w:link w:val="4"/>
    <w:autoRedefine/>
    <w:qFormat/>
    <w:uiPriority w:val="9"/>
    <w:rPr>
      <w:rFonts w:asciiTheme="majorHAnsi" w:hAnsiTheme="majorHAnsi" w:eastAsiaTheme="majorEastAsia" w:cstheme="majorBidi"/>
      <w:b/>
      <w:bCs/>
      <w:sz w:val="32"/>
      <w:szCs w:val="32"/>
    </w:rPr>
  </w:style>
  <w:style w:type="character" w:customStyle="1" w:styleId="27">
    <w:name w:val="标题 3 Char"/>
    <w:basedOn w:val="22"/>
    <w:link w:val="5"/>
    <w:autoRedefine/>
    <w:qFormat/>
    <w:uiPriority w:val="9"/>
    <w:rPr>
      <w:b/>
      <w:bCs/>
      <w:sz w:val="32"/>
      <w:szCs w:val="32"/>
    </w:rPr>
  </w:style>
  <w:style w:type="character" w:customStyle="1" w:styleId="28">
    <w:name w:val="标题 4 Char"/>
    <w:basedOn w:val="22"/>
    <w:link w:val="6"/>
    <w:autoRedefine/>
    <w:qFormat/>
    <w:uiPriority w:val="9"/>
    <w:rPr>
      <w:rFonts w:asciiTheme="majorHAnsi" w:hAnsiTheme="majorHAnsi" w:eastAsiaTheme="majorEastAsia" w:cstheme="majorBidi"/>
      <w:b/>
      <w:bCs/>
      <w:sz w:val="28"/>
      <w:szCs w:val="28"/>
    </w:rPr>
  </w:style>
  <w:style w:type="character" w:customStyle="1" w:styleId="29">
    <w:name w:val="标题 5 Char"/>
    <w:basedOn w:val="22"/>
    <w:link w:val="7"/>
    <w:autoRedefine/>
    <w:qFormat/>
    <w:uiPriority w:val="9"/>
    <w:rPr>
      <w:b/>
      <w:bCs/>
      <w:sz w:val="28"/>
      <w:szCs w:val="28"/>
    </w:rPr>
  </w:style>
  <w:style w:type="character" w:customStyle="1" w:styleId="30">
    <w:name w:val="标题 6 Char"/>
    <w:basedOn w:val="22"/>
    <w:link w:val="8"/>
    <w:autoRedefine/>
    <w:qFormat/>
    <w:uiPriority w:val="9"/>
    <w:rPr>
      <w:rFonts w:asciiTheme="majorHAnsi" w:hAnsiTheme="majorHAnsi" w:eastAsiaTheme="majorEastAsia" w:cstheme="majorBidi"/>
      <w:b/>
      <w:bCs/>
      <w:sz w:val="24"/>
      <w:szCs w:val="24"/>
    </w:rPr>
  </w:style>
  <w:style w:type="character" w:customStyle="1" w:styleId="31">
    <w:name w:val="正文文本 Char"/>
    <w:basedOn w:val="22"/>
    <w:link w:val="2"/>
    <w:autoRedefine/>
    <w:qFormat/>
    <w:uiPriority w:val="0"/>
    <w:rPr>
      <w:rFonts w:ascii="Times New Roman" w:hAnsi="Times New Roman" w:eastAsia="宋体" w:cs="Times New Roman"/>
      <w:kern w:val="0"/>
      <w:sz w:val="24"/>
      <w:szCs w:val="24"/>
    </w:rPr>
  </w:style>
  <w:style w:type="character" w:customStyle="1" w:styleId="32">
    <w:name w:val="NormalCharacter"/>
    <w:autoRedefine/>
    <w:qFormat/>
    <w:uiPriority w:val="99"/>
  </w:style>
  <w:style w:type="character" w:customStyle="1" w:styleId="33">
    <w:name w:val="font21"/>
    <w:basedOn w:val="22"/>
    <w:autoRedefine/>
    <w:qFormat/>
    <w:uiPriority w:val="0"/>
    <w:rPr>
      <w:rFonts w:hint="eastAsia" w:ascii="宋体" w:hAnsi="宋体" w:eastAsia="宋体" w:cs="宋体"/>
      <w:color w:val="000000"/>
      <w:sz w:val="20"/>
      <w:szCs w:val="20"/>
      <w:u w:val="none"/>
    </w:rPr>
  </w:style>
  <w:style w:type="character" w:customStyle="1" w:styleId="34">
    <w:name w:val="font41"/>
    <w:basedOn w:val="2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2863</Words>
  <Characters>3189</Characters>
  <Lines>39</Lines>
  <Paragraphs>10</Paragraphs>
  <TotalTime>1</TotalTime>
  <ScaleCrop>false</ScaleCrop>
  <LinksUpToDate>false</LinksUpToDate>
  <CharactersWithSpaces>3295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2025-09-23T06:46:12Z</cp:lastPrinted>
  <dcterms:modified xsi:type="dcterms:W3CDTF">2025-09-23T07:25:11Z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