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启东市自来水厂有限公司远传水表2025-2026年度采购项目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启东市自来水厂有限公司的启东市自来水厂有限公司远传水表2025-2026年度采购项目即将实施，现就该项目进行市场询价调研。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一、采购需求：详见附件《启东市自来水厂有限公司远传水表2025-2026年度采购项目市场询价表》。</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商应根据采购人通知要求的时间、批次及时供货，不得影响供货进度。若供货方不能按规定的时间供货的，在采购方同意供货方延期交货时，每逾期一天，供货方应按该批采购标的额的万分之四向采购方支付滞纳金，逾期超过15天或在供货期内逾期交货次数累计超过2次的，采购方有权终止本合同，并没收全额履约保证金，并有权要求供货方承担合同价的15%作为违约金</w:t>
      </w:r>
      <w:r>
        <w:rPr>
          <w:rFonts w:hint="eastAsia" w:ascii="宋体" w:hAnsi="宋体" w:eastAsia="宋体" w:cs="宋体"/>
          <w:color w:val="auto"/>
          <w:sz w:val="24"/>
          <w:szCs w:val="24"/>
          <w:highlight w:val="none"/>
        </w:rPr>
        <w:t>。</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default" w:ascii="宋体" w:hAnsi="宋体" w:eastAsia="宋体" w:cs="宋体"/>
          <w:color w:val="auto"/>
          <w:kern w:val="0"/>
          <w:sz w:val="24"/>
          <w:szCs w:val="24"/>
          <w:highlight w:val="none"/>
          <w:lang w:val="en-US" w:eastAsia="zh-CN"/>
        </w:rPr>
      </w:pPr>
      <w:r>
        <w:rPr>
          <w:rStyle w:val="32"/>
          <w:rFonts w:hint="eastAsia" w:ascii="宋体" w:hAnsi="宋体" w:eastAsia="宋体" w:cs="宋体"/>
          <w:kern w:val="0"/>
          <w:sz w:val="24"/>
          <w:szCs w:val="24"/>
          <w:highlight w:val="none"/>
          <w:lang w:val="en-US" w:eastAsia="zh-CN"/>
        </w:rPr>
        <w:t>2</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质保要求</w:t>
      </w:r>
      <w:r>
        <w:rPr>
          <w:rStyle w:val="32"/>
          <w:rFonts w:hint="eastAsia" w:ascii="宋体" w:hAnsi="宋体" w:eastAsia="宋体" w:cs="宋体"/>
          <w:color w:val="auto"/>
          <w:kern w:val="0"/>
          <w:sz w:val="24"/>
          <w:szCs w:val="24"/>
          <w:highlight w:val="none"/>
          <w:lang w:val="en-US" w:eastAsia="zh-CN"/>
        </w:rPr>
        <w:t>：6年。</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2"/>
          <w:rFonts w:hint="eastAsia" w:ascii="宋体" w:hAnsi="宋体" w:eastAsia="宋体" w:cs="宋体"/>
          <w:color w:val="auto"/>
          <w:kern w:val="0"/>
          <w:sz w:val="24"/>
          <w:szCs w:val="24"/>
          <w:highlight w:val="none"/>
          <w:lang w:val="en-US" w:eastAsia="zh-CN"/>
        </w:rPr>
        <w:t>3.</w:t>
      </w:r>
      <w:r>
        <w:rPr>
          <w:rStyle w:val="32"/>
          <w:rFonts w:hint="eastAsia" w:ascii="宋体" w:hAnsi="宋体" w:eastAsia="宋体" w:cs="宋体"/>
          <w:color w:val="auto"/>
          <w:kern w:val="0"/>
          <w:sz w:val="24"/>
          <w:szCs w:val="24"/>
          <w:highlight w:val="none"/>
        </w:rPr>
        <w:t>参与报价的单位需将</w:t>
      </w:r>
      <w:r>
        <w:rPr>
          <w:rStyle w:val="32"/>
          <w:rFonts w:hint="eastAsia" w:ascii="宋体" w:hAnsi="宋体" w:eastAsia="宋体" w:cs="宋体"/>
          <w:color w:val="auto"/>
          <w:kern w:val="0"/>
          <w:sz w:val="24"/>
          <w:szCs w:val="24"/>
          <w:highlight w:val="none"/>
          <w:lang w:val="en-US" w:eastAsia="zh-CN"/>
        </w:rPr>
        <w:t>有效的</w:t>
      </w:r>
      <w:r>
        <w:rPr>
          <w:rStyle w:val="32"/>
          <w:rFonts w:hint="eastAsia" w:ascii="宋体" w:hAnsi="宋体" w:eastAsia="宋体" w:cs="宋体"/>
          <w:b/>
          <w:bCs/>
          <w:color w:val="auto"/>
          <w:kern w:val="0"/>
          <w:sz w:val="24"/>
          <w:szCs w:val="24"/>
          <w:highlight w:val="none"/>
        </w:rPr>
        <w:t>营业执照复印件和市场询价</w:t>
      </w:r>
      <w:r>
        <w:rPr>
          <w:rStyle w:val="32"/>
          <w:rFonts w:hint="eastAsia" w:ascii="宋体" w:hAnsi="宋体" w:eastAsia="宋体" w:cs="宋体"/>
          <w:b/>
          <w:bCs/>
          <w:color w:val="auto"/>
          <w:kern w:val="0"/>
          <w:sz w:val="24"/>
          <w:szCs w:val="24"/>
          <w:highlight w:val="none"/>
          <w:lang w:val="en-US" w:eastAsia="zh-CN"/>
        </w:rPr>
        <w:t>报价单</w:t>
      </w:r>
      <w:r>
        <w:rPr>
          <w:rStyle w:val="32"/>
          <w:rFonts w:hint="eastAsia" w:ascii="宋体" w:hAnsi="宋体" w:eastAsia="宋体" w:cs="宋体"/>
          <w:color w:val="auto"/>
          <w:kern w:val="0"/>
          <w:sz w:val="24"/>
          <w:szCs w:val="24"/>
          <w:highlight w:val="none"/>
          <w:lang w:val="en-US" w:eastAsia="zh-CN"/>
        </w:rPr>
        <w:t>（含汇总表及分项报价表）</w:t>
      </w:r>
      <w:r>
        <w:rPr>
          <w:rStyle w:val="32"/>
          <w:rFonts w:hint="eastAsia" w:ascii="宋体" w:hAnsi="宋体" w:eastAsia="宋体" w:cs="宋体"/>
          <w:color w:val="auto"/>
          <w:kern w:val="0"/>
          <w:sz w:val="24"/>
          <w:szCs w:val="24"/>
          <w:highlight w:val="none"/>
        </w:rPr>
        <w:t>于202</w:t>
      </w:r>
      <w:r>
        <w:rPr>
          <w:rStyle w:val="32"/>
          <w:rFonts w:hint="eastAsia" w:ascii="宋体" w:hAnsi="宋体" w:eastAsia="宋体" w:cs="宋体"/>
          <w:color w:val="auto"/>
          <w:kern w:val="0"/>
          <w:sz w:val="24"/>
          <w:szCs w:val="24"/>
          <w:highlight w:val="none"/>
          <w:lang w:val="en-US" w:eastAsia="zh-CN"/>
        </w:rPr>
        <w:t>5</w:t>
      </w:r>
      <w:r>
        <w:rPr>
          <w:rStyle w:val="32"/>
          <w:rFonts w:hint="eastAsia" w:ascii="宋体" w:hAnsi="宋体" w:eastAsia="宋体" w:cs="宋体"/>
          <w:color w:val="auto"/>
          <w:kern w:val="0"/>
          <w:sz w:val="24"/>
          <w:szCs w:val="24"/>
          <w:highlight w:val="none"/>
        </w:rPr>
        <w:t>年</w:t>
      </w:r>
      <w:r>
        <w:rPr>
          <w:rStyle w:val="32"/>
          <w:rFonts w:hint="eastAsia" w:ascii="宋体" w:hAnsi="宋体" w:eastAsia="宋体" w:cs="宋体"/>
          <w:color w:val="auto"/>
          <w:kern w:val="0"/>
          <w:sz w:val="24"/>
          <w:szCs w:val="24"/>
          <w:highlight w:val="none"/>
          <w:lang w:val="en-US" w:eastAsia="zh-CN"/>
        </w:rPr>
        <w:t>9</w:t>
      </w:r>
      <w:r>
        <w:rPr>
          <w:rStyle w:val="32"/>
          <w:rFonts w:hint="eastAsia" w:ascii="宋体" w:hAnsi="宋体" w:eastAsia="宋体" w:cs="宋体"/>
          <w:color w:val="auto"/>
          <w:kern w:val="0"/>
          <w:sz w:val="24"/>
          <w:szCs w:val="24"/>
          <w:highlight w:val="none"/>
        </w:rPr>
        <w:t>月</w:t>
      </w:r>
      <w:r>
        <w:rPr>
          <w:rStyle w:val="32"/>
          <w:rFonts w:hint="eastAsia" w:ascii="宋体" w:hAnsi="宋体" w:eastAsia="宋体" w:cs="宋体"/>
          <w:color w:val="auto"/>
          <w:kern w:val="0"/>
          <w:sz w:val="24"/>
          <w:szCs w:val="24"/>
          <w:highlight w:val="none"/>
          <w:lang w:val="en-US" w:eastAsia="zh-CN"/>
        </w:rPr>
        <w:t>19</w:t>
      </w:r>
      <w:r>
        <w:rPr>
          <w:rStyle w:val="32"/>
          <w:rFonts w:hint="eastAsia" w:ascii="宋体" w:hAnsi="宋体" w:eastAsia="宋体" w:cs="宋体"/>
          <w:color w:val="auto"/>
          <w:kern w:val="0"/>
          <w:sz w:val="24"/>
          <w:szCs w:val="24"/>
          <w:highlight w:val="none"/>
        </w:rPr>
        <w:t>日17:00前</w:t>
      </w:r>
      <w:r>
        <w:rPr>
          <w:rStyle w:val="32"/>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32"/>
          <w:rFonts w:hint="eastAsia" w:ascii="宋体" w:hAnsi="宋体" w:eastAsia="宋体" w:cs="宋体"/>
          <w:color w:val="auto"/>
          <w:sz w:val="24"/>
          <w:szCs w:val="24"/>
        </w:rPr>
        <w:t>联系人：</w:t>
      </w:r>
      <w:r>
        <w:rPr>
          <w:rStyle w:val="32"/>
          <w:rFonts w:hint="eastAsia" w:ascii="宋体" w:hAnsi="宋体" w:eastAsia="宋体" w:cs="宋体"/>
          <w:color w:val="auto"/>
          <w:sz w:val="24"/>
          <w:szCs w:val="24"/>
          <w:u w:val="single"/>
        </w:rPr>
        <w:t xml:space="preserve"> </w:t>
      </w:r>
      <w:r>
        <w:rPr>
          <w:rStyle w:val="32"/>
          <w:rFonts w:hint="eastAsia" w:ascii="宋体" w:hAnsi="宋体" w:eastAsia="宋体" w:cs="宋体"/>
          <w:color w:val="auto"/>
          <w:sz w:val="24"/>
          <w:szCs w:val="24"/>
          <w:u w:val="single"/>
          <w:lang w:eastAsia="zh-CN"/>
        </w:rPr>
        <w:t>杨女士</w:t>
      </w:r>
      <w:r>
        <w:rPr>
          <w:rStyle w:val="32"/>
          <w:rFonts w:hint="eastAsia" w:ascii="宋体" w:hAnsi="宋体" w:eastAsia="宋体" w:cs="宋体"/>
          <w:color w:val="auto"/>
          <w:sz w:val="24"/>
          <w:szCs w:val="24"/>
        </w:rPr>
        <w:t>，联系电话：</w:t>
      </w:r>
      <w:r>
        <w:rPr>
          <w:rStyle w:val="32"/>
          <w:rFonts w:hint="eastAsia" w:ascii="宋体" w:hAnsi="宋体" w:eastAsia="宋体" w:cs="宋体"/>
          <w:color w:val="auto"/>
          <w:sz w:val="24"/>
          <w:szCs w:val="24"/>
          <w:u w:val="single"/>
          <w:lang w:val="en-US" w:eastAsia="zh-CN"/>
        </w:rPr>
        <w:t>0513-83248588</w:t>
      </w:r>
      <w:r>
        <w:rPr>
          <w:rStyle w:val="32"/>
          <w:rFonts w:hint="eastAsia" w:ascii="宋体" w:hAnsi="宋体" w:eastAsia="宋体" w:cs="宋体"/>
          <w:color w:val="auto"/>
          <w:sz w:val="24"/>
          <w:szCs w:val="24"/>
        </w:rPr>
        <w:t>,电子邮箱地址为：</w:t>
      </w:r>
      <w:r>
        <w:rPr>
          <w:rStyle w:val="32"/>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rPr>
      </w:pPr>
      <w:r>
        <w:rPr>
          <w:rStyle w:val="32"/>
          <w:rFonts w:hint="eastAsia" w:ascii="宋体" w:hAnsi="宋体" w:eastAsia="宋体" w:cs="宋体"/>
          <w:color w:val="auto"/>
          <w:kern w:val="0"/>
          <w:sz w:val="24"/>
          <w:szCs w:val="24"/>
          <w:highlight w:val="none"/>
          <w:lang w:val="en-US" w:eastAsia="zh-CN"/>
        </w:rPr>
        <w:t>4</w:t>
      </w:r>
      <w:r>
        <w:rPr>
          <w:rStyle w:val="32"/>
          <w:rFonts w:hint="eastAsia" w:ascii="宋体" w:hAnsi="宋体" w:eastAsia="宋体" w:cs="宋体"/>
          <w:color w:val="auto"/>
          <w:kern w:val="0"/>
          <w:sz w:val="24"/>
          <w:szCs w:val="24"/>
          <w:highlight w:val="none"/>
        </w:rPr>
        <w:t>.报价费用说明：</w:t>
      </w:r>
    </w:p>
    <w:p w14:paraId="7BAD2A4F">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1、本项目采取固定单价报价，各投标人每项的分项综合单价报价与分项最高限价相比的下浮率必须一致，否则作无效标处理。</w:t>
      </w:r>
    </w:p>
    <w:p w14:paraId="593F784C">
      <w:pPr>
        <w:keepNext w:val="0"/>
        <w:keepLines w:val="0"/>
        <w:pageBreakBefore w:val="0"/>
        <w:kinsoku/>
        <w:wordWrap/>
        <w:overflowPunct/>
        <w:topLinePunct w:val="0"/>
        <w:autoSpaceDE/>
        <w:autoSpaceDN/>
        <w:bidi w:val="0"/>
        <w:adjustRightInd/>
        <w:snapToGrid/>
        <w:spacing w:line="440" w:lineRule="exact"/>
        <w:ind w:right="0" w:rightChars="0" w:firstLine="482" w:firstLineChars="200"/>
        <w:textAlignment w:val="auto"/>
        <w:rPr>
          <w:rStyle w:val="32"/>
          <w:rFonts w:hint="eastAsia" w:ascii="宋体" w:hAnsi="宋体" w:eastAsia="宋体" w:cs="宋体"/>
          <w:b/>
          <w:bCs/>
          <w:color w:val="auto"/>
          <w:kern w:val="0"/>
          <w:sz w:val="24"/>
          <w:szCs w:val="24"/>
          <w:highlight w:val="none"/>
          <w:lang w:val="en-US" w:eastAsia="zh-CN"/>
        </w:rPr>
      </w:pPr>
      <w:r>
        <w:rPr>
          <w:rStyle w:val="32"/>
          <w:rFonts w:hint="eastAsia" w:ascii="宋体" w:hAnsi="宋体" w:eastAsia="宋体" w:cs="宋体"/>
          <w:b/>
          <w:bCs/>
          <w:color w:val="auto"/>
          <w:kern w:val="0"/>
          <w:sz w:val="24"/>
          <w:szCs w:val="24"/>
          <w:highlight w:val="none"/>
          <w:lang w:val="en-US" w:eastAsia="zh-CN"/>
        </w:rPr>
        <w:t>2、</w:t>
      </w:r>
      <w:r>
        <w:rPr>
          <w:rStyle w:val="32"/>
          <w:rFonts w:hint="eastAsia" w:ascii="宋体" w:hAnsi="宋体" w:eastAsia="宋体" w:cs="宋体"/>
          <w:b/>
          <w:bCs/>
          <w:color w:val="auto"/>
          <w:kern w:val="0"/>
          <w:sz w:val="24"/>
          <w:szCs w:val="24"/>
          <w:highlight w:val="none"/>
          <w:lang w:eastAsia="zh-CN"/>
        </w:rPr>
        <w:t>投标报价保留小数点后两位小数，否则作无效标处理。</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3、本项目采取固定单价报价，此报价包括货物的制作、运输（含上下人力费）、材料检测费、保险、装卸、配件、13%税金、现场安装技术指导、售后服务等所有费用，和政策性文件规定及合同包含的所有风险、责任等各项应有费用，即招标物交付使用前的所有费用以及免保期内的服务费用。本项目采购量为预估用量，会多批次少量进货，请各投标人在报价时充分考虑各种因素（如税金、运输等各种费用），合同期内中标单价不作调</w:t>
      </w:r>
      <w:r>
        <w:rPr>
          <w:rStyle w:val="32"/>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color w:val="auto"/>
          <w:kern w:val="0"/>
          <w:sz w:val="24"/>
          <w:szCs w:val="24"/>
          <w:highlight w:val="none"/>
          <w:lang w:val="en-US" w:eastAsia="zh-CN"/>
        </w:rPr>
        <w:t>营业执照及所有报价单必须加盖报价单位公章。</w:t>
      </w:r>
    </w:p>
    <w:p w14:paraId="12E1A68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6.拟定支付方式及期限：本次采购量为预估量，最终结算按每次实际采购量计，每次供货完毕并经验收合格后，收到卖方相应的增值税专用发票后30天内支付该批订单的90%货款，合同期内所供货物的余款10%于合同期结束满6年后，经采购单位认可后一次性结清。</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注：成交供应商申请付款的程序应符合采购人的财务规定。</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2"/>
          <w:rFonts w:hint="eastAsia" w:ascii="宋体" w:hAnsi="宋体" w:eastAsia="宋体" w:cs="宋体"/>
          <w:kern w:val="0"/>
          <w:sz w:val="24"/>
          <w:szCs w:val="24"/>
          <w:highlight w:val="none"/>
          <w:lang w:val="en-US" w:eastAsia="zh-CN"/>
        </w:rPr>
        <w:t>7</w:t>
      </w:r>
      <w:r>
        <w:rPr>
          <w:rStyle w:val="32"/>
          <w:rFonts w:hint="eastAsia" w:ascii="宋体" w:hAnsi="宋体" w:eastAsia="宋体" w:cs="宋体"/>
          <w:kern w:val="0"/>
          <w:sz w:val="24"/>
          <w:szCs w:val="24"/>
          <w:highlight w:val="none"/>
        </w:rPr>
        <w:t>.其他：</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lang w:val="en-US" w:eastAsia="zh-CN"/>
        </w:rPr>
        <w:t>1</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rPr>
        <w:t>请报价单位认真核算、如实报价，如发现虚假报价的，该单位今后将</w:t>
      </w:r>
      <w:r>
        <w:rPr>
          <w:rStyle w:val="32"/>
          <w:rFonts w:hint="eastAsia" w:ascii="宋体" w:hAnsi="宋体" w:eastAsia="宋体" w:cs="宋体"/>
          <w:kern w:val="0"/>
          <w:sz w:val="24"/>
          <w:szCs w:val="24"/>
          <w:highlight w:val="none"/>
          <w:lang w:val="en-US" w:eastAsia="zh-CN"/>
        </w:rPr>
        <w:t>记入</w:t>
      </w:r>
      <w:r>
        <w:rPr>
          <w:rStyle w:val="32"/>
          <w:rFonts w:hint="eastAsia" w:ascii="宋体" w:hAnsi="宋体" w:eastAsia="宋体" w:cs="宋体"/>
          <w:kern w:val="0"/>
          <w:sz w:val="24"/>
          <w:szCs w:val="24"/>
          <w:highlight w:val="none"/>
        </w:rPr>
        <w:t>采购</w:t>
      </w:r>
      <w:r>
        <w:rPr>
          <w:rStyle w:val="32"/>
          <w:rFonts w:hint="eastAsia" w:ascii="宋体" w:hAnsi="宋体" w:eastAsia="宋体" w:cs="宋体"/>
          <w:kern w:val="0"/>
          <w:sz w:val="24"/>
          <w:szCs w:val="24"/>
          <w:highlight w:val="none"/>
          <w:lang w:val="en-US" w:eastAsia="zh-CN"/>
        </w:rPr>
        <w:t>人招标市场的黑名单</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lang w:val="en-US" w:eastAsia="zh-CN"/>
        </w:rPr>
        <w:t>2</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rPr>
        <w:t>本次报价仅作为市场调研用，因此价格仅供参考；</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lang w:val="en-US" w:eastAsia="zh-CN"/>
        </w:rPr>
        <w:t>3</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2"/>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2"/>
          <w:rFonts w:hint="eastAsia" w:ascii="宋体" w:hAnsi="宋体" w:eastAsia="宋体" w:cs="宋体"/>
          <w:color w:val="auto"/>
          <w:kern w:val="0"/>
          <w:sz w:val="24"/>
          <w:szCs w:val="24"/>
          <w:highlight w:val="none"/>
          <w:lang w:val="en-US" w:eastAsia="zh-CN" w:bidi="ar-SA"/>
        </w:rPr>
      </w:pPr>
      <w:r>
        <w:rPr>
          <w:rStyle w:val="32"/>
          <w:rFonts w:hint="eastAsia" w:ascii="宋体" w:hAnsi="宋体" w:eastAsia="宋体" w:cs="宋体"/>
          <w:color w:val="auto"/>
          <w:kern w:val="0"/>
          <w:sz w:val="24"/>
          <w:szCs w:val="24"/>
          <w:highlight w:val="none"/>
          <w:lang w:val="en-US" w:eastAsia="zh-CN" w:bidi="ar-SA"/>
        </w:rPr>
        <w:t>2025年9月15日</w:t>
      </w:r>
    </w:p>
    <w:p w14:paraId="10B6DC4A">
      <w:pPr>
        <w:rPr>
          <w:rFonts w:hint="default" w:ascii="宋体" w:hAnsi="宋体" w:eastAsia="宋体" w:cs="宋体"/>
          <w:b/>
          <w:color w:val="auto"/>
          <w:kern w:val="0"/>
          <w:sz w:val="28"/>
          <w:szCs w:val="28"/>
          <w:highlight w:val="none"/>
          <w:lang w:val="en-US" w:eastAsia="zh-CN"/>
        </w:rPr>
      </w:pPr>
    </w:p>
    <w:p w14:paraId="22F64D54">
      <w:pPr>
        <w:pStyle w:val="10"/>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10"/>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10"/>
        <w:rPr>
          <w:rFonts w:hint="default" w:ascii="宋体" w:hAnsi="宋体" w:eastAsia="宋体" w:cs="宋体"/>
          <w:b/>
          <w:color w:val="auto"/>
          <w:kern w:val="0"/>
          <w:sz w:val="28"/>
          <w:szCs w:val="28"/>
          <w:highlight w:val="none"/>
          <w:lang w:val="en-US" w:eastAsia="zh-CN"/>
        </w:rPr>
      </w:pPr>
    </w:p>
    <w:p w14:paraId="18E2E567">
      <w:pPr>
        <w:pStyle w:val="10"/>
        <w:rPr>
          <w:rFonts w:hint="eastAsia" w:ascii="宋体" w:hAnsi="宋体" w:cs="宋体"/>
          <w:b/>
          <w:color w:val="auto"/>
          <w:kern w:val="0"/>
          <w:sz w:val="28"/>
          <w:szCs w:val="28"/>
          <w:highlight w:val="none"/>
          <w:lang w:val="en-US" w:eastAsia="zh-CN"/>
        </w:rPr>
      </w:pPr>
    </w:p>
    <w:p w14:paraId="6150418D">
      <w:pPr>
        <w:pStyle w:val="10"/>
        <w:rPr>
          <w:rFonts w:hint="eastAsia" w:ascii="宋体" w:hAnsi="宋体" w:cs="宋体"/>
          <w:b/>
          <w:color w:val="auto"/>
          <w:kern w:val="0"/>
          <w:sz w:val="28"/>
          <w:szCs w:val="28"/>
          <w:highlight w:val="none"/>
          <w:lang w:val="en-US" w:eastAsia="zh-CN"/>
        </w:rPr>
      </w:pPr>
    </w:p>
    <w:p w14:paraId="526FF72C">
      <w:pPr>
        <w:pStyle w:val="10"/>
        <w:rPr>
          <w:rFonts w:hint="eastAsia" w:ascii="宋体" w:hAnsi="宋体" w:cs="宋体"/>
          <w:b/>
          <w:color w:val="auto"/>
          <w:kern w:val="0"/>
          <w:sz w:val="28"/>
          <w:szCs w:val="28"/>
          <w:highlight w:val="none"/>
          <w:lang w:val="en-US" w:eastAsia="zh-CN"/>
        </w:rPr>
      </w:pPr>
    </w:p>
    <w:p w14:paraId="1E6E471A">
      <w:pPr>
        <w:pStyle w:val="10"/>
        <w:rPr>
          <w:rFonts w:hint="eastAsia" w:ascii="宋体" w:hAnsi="宋体" w:cs="宋体"/>
          <w:b/>
          <w:color w:val="auto"/>
          <w:kern w:val="0"/>
          <w:sz w:val="28"/>
          <w:szCs w:val="28"/>
          <w:highlight w:val="none"/>
          <w:lang w:val="en-US" w:eastAsia="zh-CN"/>
        </w:rPr>
      </w:pPr>
    </w:p>
    <w:p w14:paraId="5F5A4B4A">
      <w:pPr>
        <w:pStyle w:val="10"/>
        <w:rPr>
          <w:rFonts w:hint="eastAsia" w:ascii="宋体" w:hAnsi="宋体" w:cs="宋体"/>
          <w:b/>
          <w:color w:val="auto"/>
          <w:kern w:val="0"/>
          <w:sz w:val="28"/>
          <w:szCs w:val="28"/>
          <w:highlight w:val="none"/>
          <w:lang w:val="en-US" w:eastAsia="zh-CN"/>
        </w:rPr>
      </w:pPr>
    </w:p>
    <w:p w14:paraId="0695B097">
      <w:pPr>
        <w:pStyle w:val="10"/>
        <w:rPr>
          <w:rFonts w:hint="eastAsia" w:ascii="宋体" w:hAnsi="宋体" w:cs="宋体"/>
          <w:b/>
          <w:color w:val="auto"/>
          <w:kern w:val="0"/>
          <w:sz w:val="28"/>
          <w:szCs w:val="28"/>
          <w:highlight w:val="none"/>
          <w:lang w:val="en-US" w:eastAsia="zh-CN"/>
        </w:rPr>
      </w:pPr>
    </w:p>
    <w:p w14:paraId="3B2C24AA">
      <w:pPr>
        <w:pStyle w:val="10"/>
        <w:rPr>
          <w:rFonts w:hint="eastAsia" w:ascii="宋体" w:hAnsi="宋体" w:cs="宋体"/>
          <w:b/>
          <w:color w:val="auto"/>
          <w:kern w:val="0"/>
          <w:sz w:val="28"/>
          <w:szCs w:val="28"/>
          <w:highlight w:val="none"/>
          <w:lang w:val="en-US" w:eastAsia="zh-CN"/>
        </w:rPr>
      </w:pPr>
    </w:p>
    <w:p w14:paraId="6FA8B498">
      <w:pPr>
        <w:pStyle w:val="10"/>
        <w:rPr>
          <w:rFonts w:hint="eastAsia" w:ascii="宋体" w:hAnsi="宋体" w:cs="宋体"/>
          <w:b/>
          <w:color w:val="auto"/>
          <w:kern w:val="0"/>
          <w:sz w:val="28"/>
          <w:szCs w:val="28"/>
          <w:highlight w:val="none"/>
          <w:lang w:val="en-US" w:eastAsia="zh-CN"/>
        </w:rPr>
      </w:pPr>
    </w:p>
    <w:p w14:paraId="71C2E0F0">
      <w:pPr>
        <w:pStyle w:val="10"/>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0"/>
          <w:szCs w:val="30"/>
        </w:rPr>
      </w:pPr>
      <w:r>
        <w:rPr>
          <w:rFonts w:hint="eastAsia" w:ascii="宋体" w:hAnsi="宋体" w:cs="宋体"/>
          <w:b/>
          <w:sz w:val="30"/>
          <w:szCs w:val="30"/>
          <w:lang w:val="en-US" w:eastAsia="zh-CN"/>
        </w:rPr>
        <w:t>启东市自来水厂有限公司远传水表2025-2026年度采购项目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20"/>
        <w:tblW w:w="93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863"/>
        <w:gridCol w:w="2413"/>
        <w:gridCol w:w="804"/>
        <w:gridCol w:w="762"/>
        <w:gridCol w:w="846"/>
        <w:gridCol w:w="684"/>
        <w:gridCol w:w="816"/>
        <w:gridCol w:w="780"/>
        <w:gridCol w:w="924"/>
      </w:tblGrid>
      <w:tr w14:paraId="2916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C0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7EC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总项目名称</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64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07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7B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16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201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w:t>
            </w:r>
          </w:p>
          <w:p w14:paraId="3BBE62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10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综合</w:t>
            </w:r>
          </w:p>
          <w:p w14:paraId="7F5352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        （元）</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99F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               （元）</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6F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7B81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C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远传水表</w:t>
            </w:r>
          </w:p>
        </w:tc>
        <w:tc>
          <w:tcPr>
            <w:tcW w:w="2413" w:type="dxa"/>
            <w:tcBorders>
              <w:top w:val="single" w:color="000000" w:sz="4" w:space="0"/>
              <w:left w:val="single" w:color="000000" w:sz="4" w:space="0"/>
              <w:bottom w:val="single" w:color="000000" w:sz="4" w:space="0"/>
              <w:right w:val="nil"/>
            </w:tcBorders>
            <w:shd w:val="clear" w:color="auto" w:fill="auto"/>
            <w:vAlign w:val="center"/>
          </w:tcPr>
          <w:p w14:paraId="1825C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 NB-IoT远传水表（含止回阀芯）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D7E1">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DN15</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65F6">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E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18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FC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5B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restart"/>
            <w:tcBorders>
              <w:top w:val="single" w:color="000000" w:sz="4" w:space="0"/>
              <w:left w:val="single" w:color="000000" w:sz="4" w:space="0"/>
              <w:right w:val="single" w:color="000000" w:sz="4" w:space="0"/>
            </w:tcBorders>
            <w:shd w:val="clear" w:color="auto" w:fill="auto"/>
            <w:noWrap/>
            <w:vAlign w:val="center"/>
          </w:tcPr>
          <w:p w14:paraId="44592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含13%增值税、含运费、含卸货费等全部费用</w:t>
            </w:r>
          </w:p>
        </w:tc>
      </w:tr>
      <w:tr w14:paraId="1074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5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8BCD">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auto"/>
            <w:vAlign w:val="center"/>
          </w:tcPr>
          <w:p w14:paraId="03F1F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 NB-IoT远传水表（含止回阀芯、球墨铸铁材质）</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95D7">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DN20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35C68">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49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BD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A1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127989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F7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357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121F">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auto"/>
            <w:vAlign w:val="center"/>
          </w:tcPr>
          <w:p w14:paraId="5E9EFD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 NB-IoT远传水表（含止回阀芯、不锈钢材质）</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EE61">
            <w:pPr>
              <w:keepNext w:val="0"/>
              <w:keepLines w:val="0"/>
              <w:widowControl/>
              <w:suppressLineNumbers w:val="0"/>
              <w:jc w:val="center"/>
              <w:textAlignment w:val="center"/>
              <w:rPr>
                <w:rFonts w:hint="eastAsia" w:ascii="宋体" w:hAnsi="宋体" w:eastAsia="宋体" w:cs="宋体"/>
                <w:i w:val="0"/>
                <w:iCs w:val="0"/>
                <w:color w:val="333333"/>
                <w:kern w:val="2"/>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DN20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C9F0">
            <w:pPr>
              <w:keepNext w:val="0"/>
              <w:keepLines w:val="0"/>
              <w:widowControl/>
              <w:suppressLineNumbers w:val="0"/>
              <w:jc w:val="center"/>
              <w:textAlignment w:val="center"/>
              <w:rPr>
                <w:rFonts w:hint="eastAsia" w:ascii="宋体" w:hAnsi="宋体" w:eastAsia="宋体" w:cs="宋体"/>
                <w:i w:val="0"/>
                <w:iCs w:val="0"/>
                <w:color w:val="333333"/>
                <w:kern w:val="2"/>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00F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29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CD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98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74C2AB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22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3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699E">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auto"/>
            <w:vAlign w:val="center"/>
          </w:tcPr>
          <w:p w14:paraId="65BC5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 NB-IoT远传水表（含止回阀芯）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4F117">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DN25</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56FAC">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3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09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92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63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68D594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C6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3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5A98">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18510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 NB-IoT远传水表</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F7C7">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DN40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E9C0">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7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DC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1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B5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61E0C8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6C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E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EEB1">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11061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NB-IoT远传水表</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6435">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DN50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6AE0">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9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AB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6D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DD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5E3FFB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3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19EC">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06FCF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NB-IoT远传水表</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A4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F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B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5C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AD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B3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16E76F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F0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1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520B">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599DF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NB-IoT远传水表</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7F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63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8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1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41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8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0D1E88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2B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F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C278">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713A2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NB-IoT远传水表</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D4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1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8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AB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F6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AC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773CC8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8A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3B6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0DF0">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186B5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DN20远传水表（地井）</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5B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CA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F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E1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A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F0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46E2C7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BC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F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E3E7">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6275F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DN25远传水表（地井）</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4B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79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3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2D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7A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0A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3B41C8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8D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4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A0DF">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2B261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DN40远传水表（地井）</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73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5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0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79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96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33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3619EC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17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5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01C2">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37901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DN50远传水表（地井）</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B2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0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7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B4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A5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25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420D9E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A1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9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9FD9">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nil"/>
            </w:tcBorders>
            <w:shd w:val="clear" w:color="auto" w:fill="FFFFFF"/>
            <w:noWrap/>
            <w:vAlign w:val="center"/>
          </w:tcPr>
          <w:p w14:paraId="34FB7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DN100远传水表（地井）</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D1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4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2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78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48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B7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32A54D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A5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7E5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7F9C">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B9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表接头（带止回阀芯，2只接头外加一付垫片为一套）</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6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9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6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AD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DC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3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4990B2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03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975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300A">
            <w:pPr>
              <w:jc w:val="center"/>
              <w:rPr>
                <w:rFonts w:hint="eastAsia" w:ascii="宋体" w:hAnsi="宋体" w:eastAsia="宋体" w:cs="宋体"/>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A8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表接头（带止回阀芯，2只接头外加一付垫片为一套）</w:t>
            </w:r>
          </w:p>
        </w:tc>
        <w:tc>
          <w:tcPr>
            <w:tcW w:w="80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A9E0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7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8EE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3D8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68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BACFC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D249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14EE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bottom w:val="single" w:color="auto" w:sz="4" w:space="0"/>
              <w:right w:val="single" w:color="000000" w:sz="4" w:space="0"/>
            </w:tcBorders>
            <w:shd w:val="clear" w:color="auto" w:fill="auto"/>
            <w:noWrap/>
            <w:vAlign w:val="center"/>
          </w:tcPr>
          <w:p w14:paraId="75FEBB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2C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03"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385823E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561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8828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                   小写：</w:t>
            </w:r>
          </w:p>
        </w:tc>
      </w:tr>
      <w:tr w14:paraId="5A1C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1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7095">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auto"/>
                <w:kern w:val="0"/>
                <w:sz w:val="24"/>
                <w:szCs w:val="24"/>
                <w:highlight w:val="none"/>
                <w:u w:val="none"/>
                <w:lang w:val="en-US" w:eastAsia="zh-CN" w:bidi="ar"/>
              </w:rPr>
              <w:t>供应商的资格要求</w:t>
            </w:r>
          </w:p>
          <w:p w14:paraId="43631D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1、符合《中华人民共和国政府采购法》第二十二条规定；</w:t>
            </w:r>
          </w:p>
          <w:p w14:paraId="43C361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2、未被“信用中国”、“中国政府采购网”、“信用江苏”网站列入失信被执行人、重大税收违法案件当事人名单、政府采购严重违法失信行为记录名单(提供网页截图)；</w:t>
            </w:r>
          </w:p>
          <w:p w14:paraId="2067C0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3、对于参加报价的供应商，须具有合法的营业执照。</w:t>
            </w:r>
          </w:p>
          <w:p w14:paraId="29843D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4、报价人须提供所投产品（远传水表）的计量器具型式评价报告或计量器具型式批准证书证书原件扫描件；</w:t>
            </w:r>
          </w:p>
          <w:p w14:paraId="7054B6FF">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5、报价人需具备省级市场监督管理局颁发的，水表专项计量授权证书，授权的水表口径范围包含DN15-50；</w:t>
            </w:r>
          </w:p>
          <w:p w14:paraId="4EC71FC0">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6</w:t>
            </w:r>
            <w:r>
              <w:rPr>
                <w:rFonts w:hint="eastAsia" w:ascii="宋体" w:hAnsi="宋体" w:eastAsia="宋体" w:cs="宋体"/>
                <w:b/>
                <w:bCs/>
                <w:i w:val="0"/>
                <w:iCs w:val="0"/>
                <w:color w:val="auto"/>
                <w:kern w:val="0"/>
                <w:sz w:val="24"/>
                <w:szCs w:val="24"/>
                <w:highlight w:val="none"/>
                <w:u w:val="none"/>
                <w:lang w:val="en-US" w:eastAsia="zh-CN" w:bidi="ar"/>
              </w:rPr>
              <w:t>、报价人需具有质量管理体系、环境管理体系、职业健康安全管理体系、测量管理体系认证证书原件扫描件；</w:t>
            </w:r>
          </w:p>
          <w:p w14:paraId="08FFA2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7、报价人有自2023年1月1日以来（以合同签订时间为准）有类似的供货业绩（提供相对应的合同及发票原件扫描件加盖公章）。</w:t>
            </w:r>
          </w:p>
          <w:p w14:paraId="4176CFF9">
            <w:pPr>
              <w:pStyle w:val="19"/>
              <w:spacing w:after="0" w:line="240" w:lineRule="auto"/>
              <w:ind w:left="0" w:leftChars="0" w:firstLine="0" w:firstLineChars="0"/>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二、相关技术要求:</w:t>
            </w:r>
          </w:p>
          <w:p w14:paraId="5DF0609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1、基表要求:</w:t>
            </w:r>
          </w:p>
          <w:p w14:paraId="4DC2838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1.1用于计量水表的速度式水表，本次招标要求远传水表的基表限定为半液封湿式冷水表配钢化玻璃，采用不锈钢无磁发讯指针。数据采集技术必须选用无磁技术。</w:t>
            </w:r>
          </w:p>
          <w:p w14:paraId="7597B62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1.2远传水表的基表部分的表壳与机芯必须与传统水表一致，可以互换。</w:t>
            </w:r>
          </w:p>
          <w:p w14:paraId="5E9896AB">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1.3电子表的机械和流量性能应满足如下要求：</w:t>
            </w:r>
          </w:p>
          <w:p w14:paraId="7B0C0FD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严格执行《饮用冷水水表和热水水表》（GB/T778-2018）、《饮用冷水水表检定规程》（JJG162-2019）、《饮用水冷水水表安全规则》（CJ266-2008）、《饮用水水表卫生安全评价规范（试行）（卫办监督发[2010]134号）》或《生活饮用水输配水设备及防护材料的安全性评价标准》（GB/T17219-1998）等标准。</w:t>
            </w:r>
          </w:p>
          <w:p w14:paraId="00859D1B">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合法性：所投DN15、DN20、DN25、DN40、DN50、DN100、DN150、DN200系列口径产品必须提供合法的《计量器具型式批准证书》及相应的由省级以上计量院出具的《计量器具型式评价报告》，并正确标识CPA的标志及编号，产品或包装应具有产品说明书、质量检验的合格证和中文标明的产品名称和厂名、厂址。</w:t>
            </w:r>
          </w:p>
          <w:p w14:paraId="345F225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1.5技术特性及要求：</w:t>
            </w:r>
          </w:p>
          <w:p w14:paraId="08762770">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(1)水表的指示装置为模拟和数户字组合式指示装置，水表最大读数不少于99999；基表出厂读数：在00000-00001m³之间。</w:t>
            </w:r>
          </w:p>
          <w:p w14:paraId="64EFC097">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(2)水表的防水等级达到IP68；</w:t>
            </w:r>
          </w:p>
          <w:p w14:paraId="13EA675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(3)外形尺寸：水表长度为国标GB/T778-2018规定长度。</w:t>
            </w:r>
          </w:p>
          <w:p w14:paraId="2F976A4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(4)表芯度盘印刷内容按用户要求制定，如：“</w:t>
            </w:r>
            <w:r>
              <w:rPr>
                <w:rFonts w:hint="eastAsia" w:ascii="宋体" w:hAnsi="宋体" w:eastAsia="宋体" w:cs="宋体"/>
                <w:b/>
                <w:bCs/>
                <w:i w:val="0"/>
                <w:iCs w:val="0"/>
                <w:color w:val="auto"/>
                <w:kern w:val="0"/>
                <w:sz w:val="24"/>
                <w:szCs w:val="24"/>
                <w:highlight w:val="none"/>
                <w:u w:val="none"/>
                <w:lang w:val="en-US" w:eastAsia="zh-CN" w:bidi="ar"/>
              </w:rPr>
              <w:t>启东水司</w:t>
            </w:r>
            <w:r>
              <w:rPr>
                <w:rFonts w:hint="eastAsia" w:ascii="宋体" w:hAnsi="宋体" w:eastAsia="宋体" w:cs="宋体"/>
                <w:b w:val="0"/>
                <w:bCs w:val="0"/>
                <w:i w:val="0"/>
                <w:iCs w:val="0"/>
                <w:color w:val="auto"/>
                <w:kern w:val="0"/>
                <w:sz w:val="24"/>
                <w:szCs w:val="24"/>
                <w:highlight w:val="none"/>
                <w:u w:val="none"/>
                <w:lang w:val="en-US" w:eastAsia="zh-CN" w:bidi="ar"/>
              </w:rPr>
              <w:t>”字样。</w:t>
            </w:r>
          </w:p>
          <w:p w14:paraId="41C3C1BB">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(5)成套性：DN15-DN40口径每只水表应随同供应接管螺母2只、连接螺母和密封垫圈各2只；DN50口径基表为法兰式，含成套连接法兰。</w:t>
            </w:r>
          </w:p>
          <w:p w14:paraId="0A6C7794">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(6)标志：a.表壳一侧应有凸铸出的指示水流方向的箭头,另一侧为凸铸出的公称通径;b.标度盘标出制造厂名或商标;c.在标度盘或中罩的正面标出Q3、Q3/ Q1的值和制造编号;d.出厂编号：RD+10位阿拉伯数字</w:t>
            </w:r>
          </w:p>
          <w:p w14:paraId="5B58749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阿拉伯数字表示为：年份（2位）、月份（2位）、工号（2位）、流水号（4位）</w:t>
            </w:r>
          </w:p>
          <w:p w14:paraId="78D107A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水表电子模块外壳正面醒目位置印有“</w:t>
            </w:r>
            <w:r>
              <w:rPr>
                <w:rFonts w:hint="eastAsia" w:ascii="宋体" w:hAnsi="宋体" w:eastAsia="宋体" w:cs="宋体"/>
                <w:b/>
                <w:bCs/>
                <w:i w:val="0"/>
                <w:iCs w:val="0"/>
                <w:color w:val="auto"/>
                <w:kern w:val="0"/>
                <w:sz w:val="24"/>
                <w:szCs w:val="24"/>
                <w:highlight w:val="none"/>
                <w:u w:val="none"/>
                <w:lang w:val="en-US" w:eastAsia="zh-CN" w:bidi="ar"/>
              </w:rPr>
              <w:t>启东水司</w:t>
            </w:r>
            <w:r>
              <w:rPr>
                <w:rFonts w:hint="eastAsia" w:ascii="宋体" w:hAnsi="宋体" w:eastAsia="宋体" w:cs="宋体"/>
                <w:b w:val="0"/>
                <w:bCs w:val="0"/>
                <w:i w:val="0"/>
                <w:iCs w:val="0"/>
                <w:color w:val="auto"/>
                <w:kern w:val="0"/>
                <w:sz w:val="24"/>
                <w:szCs w:val="24"/>
                <w:highlight w:val="none"/>
                <w:u w:val="none"/>
                <w:lang w:val="en-US" w:eastAsia="zh-CN" w:bidi="ar"/>
              </w:rPr>
              <w:t>”字样。</w:t>
            </w:r>
          </w:p>
          <w:p w14:paraId="2FF7C3B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(7)安装方式：水平安装；</w:t>
            </w:r>
          </w:p>
          <w:p w14:paraId="62BC366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(8)抗抖动、回流：在水流抖动、回流时，确保抄读数据与基表的一致性；</w:t>
            </w:r>
          </w:p>
          <w:p w14:paraId="37C83C20">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(9)抗强磁干扰：在人为强磁干扰情况均能正常工作 ，不影响水表的计量性能及抄表功能。</w:t>
            </w:r>
          </w:p>
          <w:p w14:paraId="0D87E6B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(10)水表采集的数据须有正向、反向流量读数。</w:t>
            </w:r>
          </w:p>
          <w:p w14:paraId="29C3F1D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2、计量要求：</w:t>
            </w:r>
          </w:p>
          <w:p w14:paraId="384388C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2.1量程比：</w:t>
            </w:r>
          </w:p>
          <w:tbl>
            <w:tblPr>
              <w:tblStyle w:val="21"/>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727"/>
              <w:gridCol w:w="2657"/>
              <w:gridCol w:w="2033"/>
            </w:tblGrid>
            <w:tr w14:paraId="1E76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shd w:val="clear" w:color="auto" w:fill="auto"/>
                  <w:vAlign w:val="center"/>
                </w:tcPr>
                <w:p w14:paraId="39EB92EE">
                  <w:pPr>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公称口径</w:t>
                  </w:r>
                </w:p>
              </w:tc>
              <w:tc>
                <w:tcPr>
                  <w:tcW w:w="2727" w:type="dxa"/>
                  <w:shd w:val="clear" w:color="auto" w:fill="auto"/>
                  <w:vAlign w:val="center"/>
                </w:tcPr>
                <w:p w14:paraId="7157253E">
                  <w:pPr>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Q3(m3/h)</w:t>
                  </w:r>
                </w:p>
              </w:tc>
              <w:tc>
                <w:tcPr>
                  <w:tcW w:w="2657" w:type="dxa"/>
                  <w:shd w:val="clear" w:color="auto" w:fill="auto"/>
                  <w:vAlign w:val="center"/>
                </w:tcPr>
                <w:p w14:paraId="5F8BD53F">
                  <w:pPr>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Q3/Q1（R值）</w:t>
                  </w:r>
                </w:p>
              </w:tc>
              <w:tc>
                <w:tcPr>
                  <w:tcW w:w="2033" w:type="dxa"/>
                  <w:shd w:val="clear" w:color="auto" w:fill="auto"/>
                  <w:vAlign w:val="center"/>
                </w:tcPr>
                <w:p w14:paraId="2EE9B6AE">
                  <w:pPr>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Q2/Q1</w:t>
                  </w:r>
                </w:p>
              </w:tc>
            </w:tr>
            <w:tr w14:paraId="7BBD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shd w:val="clear" w:color="auto" w:fill="auto"/>
                  <w:vAlign w:val="center"/>
                </w:tcPr>
                <w:p w14:paraId="67D8E1E6">
                  <w:pPr>
                    <w:adjustRightInd w:val="0"/>
                    <w:snapToGrid w:val="0"/>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DN15</w:t>
                  </w:r>
                </w:p>
              </w:tc>
              <w:tc>
                <w:tcPr>
                  <w:tcW w:w="2727" w:type="dxa"/>
                  <w:shd w:val="clear" w:color="auto" w:fill="auto"/>
                  <w:vAlign w:val="center"/>
                </w:tcPr>
                <w:p w14:paraId="6AD8A2F6">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≥2.5</w:t>
                  </w:r>
                </w:p>
              </w:tc>
              <w:tc>
                <w:tcPr>
                  <w:tcW w:w="2657" w:type="dxa"/>
                  <w:shd w:val="clear" w:color="auto" w:fill="auto"/>
                  <w:vAlign w:val="center"/>
                </w:tcPr>
                <w:p w14:paraId="2C663008">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≥100</w:t>
                  </w:r>
                </w:p>
              </w:tc>
              <w:tc>
                <w:tcPr>
                  <w:tcW w:w="2033" w:type="dxa"/>
                  <w:shd w:val="clear" w:color="auto" w:fill="auto"/>
                  <w:vAlign w:val="center"/>
                </w:tcPr>
                <w:p w14:paraId="36D2A5C7">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r>
            <w:tr w14:paraId="7763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shd w:val="clear" w:color="auto" w:fill="auto"/>
                  <w:vAlign w:val="center"/>
                </w:tcPr>
                <w:p w14:paraId="7B58978C">
                  <w:pPr>
                    <w:adjustRightInd w:val="0"/>
                    <w:snapToGrid w:val="0"/>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DN20</w:t>
                  </w:r>
                </w:p>
              </w:tc>
              <w:tc>
                <w:tcPr>
                  <w:tcW w:w="2727" w:type="dxa"/>
                  <w:shd w:val="clear" w:color="auto" w:fill="auto"/>
                  <w:vAlign w:val="center"/>
                </w:tcPr>
                <w:p w14:paraId="59CF42D3">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≥4.0</w:t>
                  </w:r>
                </w:p>
              </w:tc>
              <w:tc>
                <w:tcPr>
                  <w:tcW w:w="2657" w:type="dxa"/>
                  <w:shd w:val="clear" w:color="auto" w:fill="auto"/>
                  <w:vAlign w:val="center"/>
                </w:tcPr>
                <w:p w14:paraId="0C0A35AD">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≥100</w:t>
                  </w:r>
                </w:p>
              </w:tc>
              <w:tc>
                <w:tcPr>
                  <w:tcW w:w="2033" w:type="dxa"/>
                  <w:shd w:val="clear" w:color="auto" w:fill="auto"/>
                  <w:vAlign w:val="center"/>
                </w:tcPr>
                <w:p w14:paraId="7D8FF12F">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r>
            <w:tr w14:paraId="36B8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shd w:val="clear" w:color="auto" w:fill="auto"/>
                  <w:vAlign w:val="center"/>
                </w:tcPr>
                <w:p w14:paraId="7BD28CA4">
                  <w:pPr>
                    <w:adjustRightInd w:val="0"/>
                    <w:snapToGrid w:val="0"/>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DN25</w:t>
                  </w:r>
                </w:p>
              </w:tc>
              <w:tc>
                <w:tcPr>
                  <w:tcW w:w="2727" w:type="dxa"/>
                  <w:shd w:val="clear" w:color="auto" w:fill="auto"/>
                  <w:vAlign w:val="center"/>
                </w:tcPr>
                <w:p w14:paraId="102F8267">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≥6.3</w:t>
                  </w:r>
                </w:p>
              </w:tc>
              <w:tc>
                <w:tcPr>
                  <w:tcW w:w="2657" w:type="dxa"/>
                  <w:shd w:val="clear" w:color="auto" w:fill="auto"/>
                  <w:vAlign w:val="center"/>
                </w:tcPr>
                <w:p w14:paraId="0542E739">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≥100</w:t>
                  </w:r>
                </w:p>
              </w:tc>
              <w:tc>
                <w:tcPr>
                  <w:tcW w:w="2033" w:type="dxa"/>
                  <w:shd w:val="clear" w:color="auto" w:fill="auto"/>
                  <w:vAlign w:val="center"/>
                </w:tcPr>
                <w:p w14:paraId="020FA2C8">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r>
            <w:tr w14:paraId="32B1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shd w:val="clear" w:color="auto" w:fill="auto"/>
                  <w:vAlign w:val="center"/>
                </w:tcPr>
                <w:p w14:paraId="3C504EFE">
                  <w:pPr>
                    <w:adjustRightInd w:val="0"/>
                    <w:snapToGrid w:val="0"/>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DN40</w:t>
                  </w:r>
                </w:p>
              </w:tc>
              <w:tc>
                <w:tcPr>
                  <w:tcW w:w="2727" w:type="dxa"/>
                  <w:shd w:val="clear" w:color="auto" w:fill="auto"/>
                  <w:vAlign w:val="center"/>
                </w:tcPr>
                <w:p w14:paraId="490904E5">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2657" w:type="dxa"/>
                  <w:shd w:val="clear" w:color="auto" w:fill="auto"/>
                  <w:vAlign w:val="center"/>
                </w:tcPr>
                <w:p w14:paraId="7EF50D20">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≥160</w:t>
                  </w:r>
                </w:p>
              </w:tc>
              <w:tc>
                <w:tcPr>
                  <w:tcW w:w="2033" w:type="dxa"/>
                  <w:shd w:val="clear" w:color="auto" w:fill="auto"/>
                  <w:vAlign w:val="center"/>
                </w:tcPr>
                <w:p w14:paraId="4812F9A6">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r>
            <w:tr w14:paraId="3789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shd w:val="clear" w:color="auto" w:fill="auto"/>
                  <w:vAlign w:val="center"/>
                </w:tcPr>
                <w:p w14:paraId="4EF51F65">
                  <w:pPr>
                    <w:adjustRightInd w:val="0"/>
                    <w:snapToGrid w:val="0"/>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DN50</w:t>
                  </w:r>
                </w:p>
              </w:tc>
              <w:tc>
                <w:tcPr>
                  <w:tcW w:w="2727" w:type="dxa"/>
                  <w:shd w:val="clear" w:color="auto" w:fill="auto"/>
                  <w:vAlign w:val="center"/>
                </w:tcPr>
                <w:p w14:paraId="0D21171E">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≥40</w:t>
                  </w:r>
                </w:p>
              </w:tc>
              <w:tc>
                <w:tcPr>
                  <w:tcW w:w="2657" w:type="dxa"/>
                  <w:shd w:val="clear" w:color="auto" w:fill="auto"/>
                  <w:vAlign w:val="center"/>
                </w:tcPr>
                <w:p w14:paraId="4F173631">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≥200</w:t>
                  </w:r>
                </w:p>
              </w:tc>
              <w:tc>
                <w:tcPr>
                  <w:tcW w:w="2033" w:type="dxa"/>
                  <w:shd w:val="clear" w:color="auto" w:fill="auto"/>
                  <w:vAlign w:val="center"/>
                </w:tcPr>
                <w:p w14:paraId="5E025E3F">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r>
            <w:tr w14:paraId="2DD2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shd w:val="clear" w:color="auto" w:fill="auto"/>
                  <w:vAlign w:val="center"/>
                </w:tcPr>
                <w:p w14:paraId="00A96686">
                  <w:pPr>
                    <w:adjustRightInd w:val="0"/>
                    <w:snapToGrid w:val="0"/>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DN100</w:t>
                  </w:r>
                </w:p>
              </w:tc>
              <w:tc>
                <w:tcPr>
                  <w:tcW w:w="2727" w:type="dxa"/>
                  <w:shd w:val="clear" w:color="auto" w:fill="auto"/>
                  <w:vAlign w:val="center"/>
                </w:tcPr>
                <w:p w14:paraId="4CA0DA8B">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≥100</w:t>
                  </w:r>
                </w:p>
              </w:tc>
              <w:tc>
                <w:tcPr>
                  <w:tcW w:w="2657" w:type="dxa"/>
                  <w:shd w:val="clear" w:color="auto" w:fill="auto"/>
                  <w:vAlign w:val="center"/>
                </w:tcPr>
                <w:p w14:paraId="25B2E943">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≥200</w:t>
                  </w:r>
                </w:p>
              </w:tc>
              <w:tc>
                <w:tcPr>
                  <w:tcW w:w="2033" w:type="dxa"/>
                  <w:shd w:val="clear" w:color="auto" w:fill="auto"/>
                  <w:vAlign w:val="center"/>
                </w:tcPr>
                <w:p w14:paraId="2760C5FE">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r>
          </w:tbl>
          <w:p w14:paraId="433220F0">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2.2温度等级为T30；</w:t>
            </w:r>
          </w:p>
          <w:p w14:paraId="42ABF3C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2.3水压等级为MAP10。</w:t>
            </w:r>
          </w:p>
          <w:p w14:paraId="32D3472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3、静压试验：</w:t>
            </w:r>
          </w:p>
          <w:p w14:paraId="19B36E6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3.1水表应承受压力为1.6MPa并持续15min的水压强度试验，不应有可见的泄露、指示装置进水或机械损坏；</w:t>
            </w:r>
          </w:p>
          <w:p w14:paraId="7C88C22B">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3.2水表应承受压力为2.0MPa并持续1min的水压强度试验（试验期间流量应为0），不应有可见的泄露、指示装置进水或机械损坏。</w:t>
            </w:r>
          </w:p>
          <w:p w14:paraId="09D3225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4、示值误差试验：</w:t>
            </w:r>
          </w:p>
          <w:p w14:paraId="0DA36D4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示值误差应符合JJG162-2019《饮用冷水水表检定规程》要求：</w:t>
            </w:r>
          </w:p>
          <w:p w14:paraId="0C01C16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4.1 Q1～Q2(不包括Q2)的高区：±2.0%；</w:t>
            </w:r>
          </w:p>
          <w:p w14:paraId="13E84E6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4.2 Q2（包括Q2)～Q4的低区：±5.0%。</w:t>
            </w:r>
          </w:p>
          <w:p w14:paraId="43BC7A6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5、压力损失试验：</w:t>
            </w:r>
          </w:p>
          <w:p w14:paraId="3260016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在Q1～Q3（包括Q3)范围内的任意流量下，水表的压力损失应不超过0.063MPa。</w:t>
            </w:r>
          </w:p>
          <w:p w14:paraId="045A96A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6、水表上所有接触水的零部件和防护材料应采用无毒、无污染、无生物活性的材料制造，且该材料应有足够的强度和耐用度，同时应耐水和大气等通常的内外腐蚀，或采用可靠的处理加以保护。</w:t>
            </w:r>
          </w:p>
          <w:p w14:paraId="46EBDBB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6.1罩子：锻造铅黄铜（ZCuZn40Pb2）材质；</w:t>
            </w:r>
          </w:p>
          <w:p w14:paraId="775C95D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6.2表玻璃：钢化玻璃，符合JB/T 8480-1996《湿式水表用钢化表玻璃》标准；</w:t>
            </w:r>
          </w:p>
          <w:p w14:paraId="13B708F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6.3表壳：球墨铸铁材质或304不锈钢材质，且符</w:t>
            </w:r>
            <w:r>
              <w:rPr>
                <w:rFonts w:hint="eastAsia" w:ascii="宋体" w:hAnsi="宋体" w:eastAsia="宋体" w:cs="宋体"/>
                <w:b w:val="0"/>
                <w:bCs w:val="0"/>
                <w:i w:val="0"/>
                <w:iCs w:val="0"/>
                <w:color w:val="000000"/>
                <w:kern w:val="0"/>
                <w:sz w:val="24"/>
                <w:szCs w:val="24"/>
                <w:highlight w:val="none"/>
                <w:u w:val="none"/>
                <w:lang w:val="en-US" w:eastAsia="zh-CN" w:bidi="ar"/>
              </w:rPr>
              <w:t>合CMA/WM778《小口</w:t>
            </w:r>
            <w:r>
              <w:rPr>
                <w:rFonts w:hint="eastAsia" w:ascii="宋体" w:hAnsi="宋体" w:eastAsia="宋体" w:cs="宋体"/>
                <w:b w:val="0"/>
                <w:bCs w:val="0"/>
                <w:i w:val="0"/>
                <w:iCs w:val="0"/>
                <w:color w:val="000000"/>
                <w:kern w:val="0"/>
                <w:sz w:val="24"/>
                <w:szCs w:val="24"/>
                <w:u w:val="none"/>
                <w:lang w:val="en-US" w:eastAsia="zh-CN" w:bidi="ar"/>
              </w:rPr>
              <w:t>径饮用冷水水表表壳技术规范》相关要求；</w:t>
            </w:r>
          </w:p>
          <w:p w14:paraId="5A44D8D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6.4连接螺母：锻造铅黄铜（ZCuZn40Pb2），符合GB/T 1176-2013《铸造铜及铜合金标准》；</w:t>
            </w:r>
          </w:p>
          <w:p w14:paraId="0C4CBD0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6.5管接头：锻造铅黄铜（ZCuZn40Pb2），符合GB/T 1176-2013《铸造铜及铜合金标准》（表壳上、管接头应有可供封印的孔洞。）；止回阀芯；塑料件材质：ABS或POM，密封圈：EPDM，弹簧材质：304不锈钢，与管接头紧密配合、不松动，材质符合国家饮用水卫生标准且需满足水阻小、不卡异物等。</w:t>
            </w:r>
          </w:p>
          <w:p w14:paraId="2FDA0D7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6.6防护材料：投标单位须在投标文件中注明其水表表壳内外防护材料材质及相应的处理工艺。</w:t>
            </w:r>
          </w:p>
          <w:p w14:paraId="4C3A8FC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7、技术标准：</w:t>
            </w:r>
          </w:p>
          <w:p w14:paraId="661AF82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本次公开招标的（NB-IoT）远传水表采用分体结构设计，基表必须选用半液封湿式冷水表</w:t>
            </w:r>
            <w:r>
              <w:rPr>
                <w:rFonts w:hint="eastAsia" w:ascii="宋体" w:hAnsi="宋体" w:eastAsia="宋体" w:cs="宋体"/>
                <w:b w:val="0"/>
                <w:bCs w:val="0"/>
                <w:i w:val="0"/>
                <w:iCs w:val="0"/>
                <w:color w:val="000000"/>
                <w:kern w:val="0"/>
                <w:sz w:val="24"/>
                <w:szCs w:val="24"/>
                <w:highlight w:val="none"/>
                <w:u w:val="none"/>
                <w:lang w:val="en-US" w:eastAsia="zh-CN" w:bidi="ar"/>
              </w:rPr>
              <w:t>配钢化玻璃，采用</w:t>
            </w:r>
            <w:r>
              <w:rPr>
                <w:rFonts w:hint="eastAsia" w:ascii="宋体" w:hAnsi="宋体" w:eastAsia="宋体" w:cs="宋体"/>
                <w:b w:val="0"/>
                <w:bCs w:val="0"/>
                <w:i w:val="0"/>
                <w:iCs w:val="0"/>
                <w:color w:val="auto"/>
                <w:kern w:val="0"/>
                <w:sz w:val="24"/>
                <w:szCs w:val="24"/>
                <w:highlight w:val="none"/>
                <w:u w:val="none"/>
                <w:lang w:val="en-US" w:eastAsia="zh-CN" w:bidi="ar"/>
              </w:rPr>
              <w:t>不锈钢无磁发讯指针。数据采集技术必须选用无磁技术。</w:t>
            </w:r>
          </w:p>
          <w:p w14:paraId="4CD0BF5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8、主要技术要求：</w:t>
            </w:r>
          </w:p>
          <w:p w14:paraId="35914DAE">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1）《饮用冷水水表和热水水表》GB/T 778-2018</w:t>
            </w:r>
          </w:p>
          <w:p w14:paraId="2B9151A4">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2）《饮用水冷水水表安全规则》CJ266-2008</w:t>
            </w:r>
          </w:p>
          <w:p w14:paraId="102A7914">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3）《饮用冷水水表检定规程》JJG162-2019</w:t>
            </w:r>
          </w:p>
          <w:p w14:paraId="401953AD">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default" w:ascii="Arial" w:hAnsi="Arial" w:cs="Arial"/>
                <w:b w:val="0"/>
                <w:bCs w:val="0"/>
                <w:i w:val="0"/>
                <w:iCs w:val="0"/>
                <w:caps w:val="0"/>
                <w:color w:val="auto"/>
                <w:spacing w:val="0"/>
                <w:sz w:val="21"/>
                <w:szCs w:val="21"/>
                <w:highlight w:val="none"/>
                <w:shd w:val="clear" w:fill="FFFFFF"/>
              </w:rPr>
              <w:t>民用建筑远传抄表系统</w:t>
            </w:r>
            <w:r>
              <w:rPr>
                <w:rFonts w:hint="eastAsia" w:ascii="宋体" w:hAnsi="宋体" w:eastAsia="宋体" w:cs="宋体"/>
                <w:b w:val="0"/>
                <w:bCs w:val="0"/>
                <w:i w:val="0"/>
                <w:iCs w:val="0"/>
                <w:color w:val="auto"/>
                <w:kern w:val="0"/>
                <w:sz w:val="24"/>
                <w:szCs w:val="24"/>
                <w:highlight w:val="none"/>
                <w:u w:val="none"/>
                <w:lang w:val="en-US" w:eastAsia="zh-CN" w:bidi="ar"/>
              </w:rPr>
              <w:t>》JG/T162-2017</w:t>
            </w:r>
          </w:p>
          <w:p w14:paraId="24DCBD64">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5）《户用计量仪表数据传输技术条件》CJ/T188-2018</w:t>
            </w:r>
          </w:p>
          <w:p w14:paraId="34959CF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6）《电子直读式水表》CJ/T383-2011</w:t>
            </w:r>
          </w:p>
          <w:p w14:paraId="2F8CA38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7）《电子远传水表》CJ/T224-2012</w:t>
            </w:r>
          </w:p>
          <w:p w14:paraId="6EA9E2D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以上标准中要求不相同时，采用高要求。</w:t>
            </w:r>
          </w:p>
          <w:p w14:paraId="3AFF10A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9、电子设备要求：</w:t>
            </w:r>
          </w:p>
          <w:p w14:paraId="7AD5517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9.1一次抄读成功率：现场条件下，系统的一次抄读成功率应大于99.9%（自然灾害及人为破坏因素除外），中标方在签订合同时提供水司使用证明材料，否则采购方有权拒签合同。</w:t>
            </w:r>
          </w:p>
          <w:p w14:paraId="24D6B95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9.2数据抄读总差错率：系统的数据抄读总差错率应小于0.1%（自然灾害及人为破坏因素除外），中标方在签订合同时提供水司使用证明材料，否则采购方有权拒签合同。</w:t>
            </w:r>
          </w:p>
          <w:p w14:paraId="7F5AEEA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9.3温度范围：适应工作环境温度范围，0.1℃～55℃。</w:t>
            </w:r>
          </w:p>
          <w:p w14:paraId="2D68A16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9.4湿度范围：</w:t>
            </w:r>
            <w:r>
              <w:rPr>
                <w:rFonts w:hint="eastAsia" w:ascii="宋体" w:hAnsi="宋体" w:eastAsia="宋体" w:cs="宋体"/>
                <w:b w:val="0"/>
                <w:bCs w:val="0"/>
                <w:i w:val="0"/>
                <w:iCs w:val="0"/>
                <w:color w:val="000000"/>
                <w:kern w:val="0"/>
                <w:sz w:val="24"/>
                <w:szCs w:val="24"/>
                <w:highlight w:val="none"/>
                <w:u w:val="none"/>
                <w:lang w:val="en-US" w:eastAsia="zh-CN" w:bidi="ar"/>
              </w:rPr>
              <w:t>水表适应工作环境湿度范围，40℃时为0%～100%，远传读数装置在40℃至少为93%。</w:t>
            </w:r>
          </w:p>
          <w:p w14:paraId="7240EFB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9.5 安装环境等级：户外C级、建筑物类B级。</w:t>
            </w:r>
          </w:p>
          <w:p w14:paraId="6040995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9.6电磁环境等级：E1级。</w:t>
            </w:r>
          </w:p>
          <w:p w14:paraId="63E8954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9.7防水等级：IP68，不进灰尘，满足长期浸水的要求。</w:t>
            </w:r>
          </w:p>
          <w:p w14:paraId="773EC5D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9.8内置电池：锂电池供电，电池可独立更换且满足双向可更换结构在上报频次为 1 次/日时，保证使用 8 年。</w:t>
            </w:r>
          </w:p>
          <w:p w14:paraId="3517E3C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9.9数据存储：可存储数据≥30天，当存满存储介质时，新采集的数据自动覆盖最早数据</w:t>
            </w:r>
          </w:p>
          <w:p w14:paraId="0751465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9.10远传水表能人工抄读，水表电子设备不破坏基表结构，不影响人工抄读到m³位。</w:t>
            </w:r>
          </w:p>
          <w:p w14:paraId="62380E7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9.11通讯方式：采用运营商的NB-IoT网络实现数据传输，并提供属地化日常通信运维服务；必须可无缝接入采购方智能水表管理平台,按采购方制定的通讯协议标准生产，不得擅自修改。</w:t>
            </w:r>
          </w:p>
          <w:p w14:paraId="574F2A8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9.12通讯协议：见附件（NB-IoT小表协议V1.0）</w:t>
            </w:r>
          </w:p>
          <w:p w14:paraId="403C8C7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9.13模块标识的印刷：在电子模块上按采购人要求印制相关标识和条形码。</w:t>
            </w:r>
          </w:p>
          <w:p w14:paraId="603EFC8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9.14通过NB-IoT平台将软件版本号、IMSI号、累计流量、日结流量、故障报警、电压状态、无线信号强度等数据上报到水务平台。</w:t>
            </w:r>
          </w:p>
          <w:p w14:paraId="5AF8EDE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10、电子设备功能要求</w:t>
            </w:r>
          </w:p>
          <w:p w14:paraId="5C0506A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10.1 周期上报：</w:t>
            </w:r>
          </w:p>
          <w:p w14:paraId="32CC706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1）每日周期上报：上报前一天24小时数据，数据包含每1小时记录一次的数据，共24个记录信息等。数据包含日冻结信息等。</w:t>
            </w:r>
          </w:p>
          <w:p w14:paraId="53FE761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2）高频周期上报：可通过平台设置或更改发送频率，最小做到每小时周期上报，数据包含上报周期内的每30分钟记录一次的数据信息等。</w:t>
            </w:r>
          </w:p>
          <w:p w14:paraId="42EFA94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10.2 密集数据采集：从设置的起始时间算起4个小时，每10分钟一个点，共48个点累计流量。</w:t>
            </w:r>
          </w:p>
          <w:p w14:paraId="636EE92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10.3 补包功能 ：当本次数据上报不成功时 ，下个上报周期数据自动补包 ，在数据有效保存期内的数据都可以补包；</w:t>
            </w:r>
          </w:p>
          <w:p w14:paraId="381EFE1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10.4 数据上报消息：数据上报消息要求在一个完整的消息报文中上送。</w:t>
            </w:r>
          </w:p>
          <w:p w14:paraId="70286DF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10.5报警功能 ：当电池欠压、磁干扰、电子模块分离、过流流量、反流流量进行告警。</w:t>
            </w:r>
          </w:p>
          <w:p w14:paraId="23770F9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10.6时间校对：数据周期上报时，有校时功能进行校对。</w:t>
            </w:r>
          </w:p>
          <w:p w14:paraId="4BF4A64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10.7数据加密：采用高级加密标准，解密算法。</w:t>
            </w:r>
          </w:p>
          <w:p w14:paraId="45A09DA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11、NB-IoT无磁传感远传水表机电转换及计数要求</w:t>
            </w:r>
          </w:p>
          <w:p w14:paraId="0DC4E74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11.1计数器：表盘标志必须符合国家相关要求，读数部分应由气体或特殊液体密封，保证与水隔绝。表盘表面干净、无气泡。梅花轮无遮挡，读数清晰。表盘始动梅花轮为黑色6瓣或10瓣常规形状；</w:t>
            </w:r>
          </w:p>
          <w:p w14:paraId="7BDD8A3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11.2机械字轮位数：指示到m³的位数不小于5位，即满行度不小于99999m³；</w:t>
            </w:r>
          </w:p>
          <w:p w14:paraId="4DDECAC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11.3数据采集技术必须选用无磁技术。</w:t>
            </w:r>
          </w:p>
          <w:p w14:paraId="543A0D9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11.4采用不锈钢金属薄片作为信号驱动源，采样分辨率为1升计量；</w:t>
            </w:r>
          </w:p>
          <w:p w14:paraId="6823970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11.5任何强静磁场（10000 高斯以上）干扰对信号采样及计量不起作用；</w:t>
            </w:r>
          </w:p>
          <w:p w14:paraId="7B73FD9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11.6机械计量与电子采样及通讯模组可分离，方便维护及重复使用；</w:t>
            </w:r>
          </w:p>
          <w:p w14:paraId="5173698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11.7无遮挡结构方便水司校验。</w:t>
            </w:r>
          </w:p>
          <w:p w14:paraId="72C2F35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12、通讯要求</w:t>
            </w:r>
          </w:p>
          <w:p w14:paraId="072F576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12.1投标人所提供远传水表价格包含8年通讯费用（8年后由水表厂商代收通讯费，费用不得高于中标方与通讯服务商的协议价）及初期调试费用。</w:t>
            </w:r>
          </w:p>
          <w:p w14:paraId="1FDBF30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12.2投标人所提供远传水表的NB-IoT物联网卡必须由本地通讯运营商提供的NB-IoT物联网卡，中标方在签订合同时需提供与通讯服务商合作协议，否则采购方有权拒签合同。</w:t>
            </w:r>
          </w:p>
          <w:p w14:paraId="70DC0A89">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46CB67C9">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2C44AF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四、本项目参</w:t>
            </w:r>
            <w:r>
              <w:rPr>
                <w:rFonts w:hint="eastAsia" w:ascii="宋体" w:hAnsi="宋体" w:eastAsia="宋体" w:cs="宋体"/>
                <w:b/>
                <w:bCs/>
                <w:i w:val="0"/>
                <w:iCs w:val="0"/>
                <w:color w:val="auto"/>
                <w:kern w:val="0"/>
                <w:sz w:val="24"/>
                <w:szCs w:val="24"/>
                <w:u w:val="none"/>
                <w:lang w:val="en-US" w:eastAsia="zh-CN" w:bidi="ar"/>
              </w:rPr>
              <w:t>考品牌：</w:t>
            </w:r>
            <w:r>
              <w:rPr>
                <w:rFonts w:hint="eastAsia" w:ascii="宋体" w:hAnsi="宋体" w:eastAsia="宋体" w:cs="宋体"/>
                <w:b/>
                <w:bCs/>
                <w:i w:val="0"/>
                <w:iCs w:val="0"/>
                <w:color w:val="auto"/>
                <w:kern w:val="0"/>
                <w:sz w:val="24"/>
                <w:szCs w:val="24"/>
                <w:highlight w:val="none"/>
                <w:u w:val="none"/>
                <w:lang w:val="en-US" w:eastAsia="zh-CN" w:bidi="ar"/>
              </w:rPr>
              <w:t>三川牌</w:t>
            </w:r>
            <w:bookmarkStart w:id="0" w:name="_GoBack"/>
            <w:bookmarkEnd w:id="0"/>
            <w:r>
              <w:rPr>
                <w:rFonts w:hint="eastAsia" w:ascii="宋体" w:hAnsi="宋体" w:eastAsia="宋体" w:cs="宋体"/>
                <w:b/>
                <w:bCs/>
                <w:i w:val="0"/>
                <w:iCs w:val="0"/>
                <w:color w:val="auto"/>
                <w:kern w:val="0"/>
                <w:sz w:val="24"/>
                <w:szCs w:val="24"/>
                <w:highlight w:val="none"/>
                <w:u w:val="none"/>
                <w:lang w:val="en-US" w:eastAsia="zh-CN" w:bidi="ar"/>
              </w:rPr>
              <w:t>、宁波牌、SUNTRONT牌、杭水牌、山科牌、东海牌</w:t>
            </w:r>
            <w:r>
              <w:rPr>
                <w:rFonts w:hint="eastAsia" w:ascii="宋体" w:hAnsi="宋体" w:eastAsia="宋体" w:cs="宋体"/>
                <w:b/>
                <w:bCs/>
                <w:i w:val="0"/>
                <w:iCs w:val="0"/>
                <w:color w:val="auto"/>
                <w:kern w:val="0"/>
                <w:sz w:val="24"/>
                <w:szCs w:val="24"/>
                <w:u w:val="none"/>
                <w:lang w:val="en-US" w:eastAsia="zh-CN" w:bidi="ar"/>
              </w:rPr>
              <w:t>，参加报价的供应商如以参考品牌进行报价的，需提供所投品牌商标证明（若为经销商的，需提供所投品牌的授权委托书及品牌商标证明）</w:t>
            </w:r>
            <w:r>
              <w:rPr>
                <w:rFonts w:hint="eastAsia" w:ascii="宋体" w:hAnsi="宋体" w:eastAsia="宋体" w:cs="宋体"/>
                <w:b/>
                <w:bCs/>
                <w:i w:val="0"/>
                <w:iCs w:val="0"/>
                <w:color w:val="000000"/>
                <w:kern w:val="0"/>
                <w:sz w:val="24"/>
                <w:szCs w:val="24"/>
                <w:u w:val="none"/>
                <w:lang w:val="en-US" w:eastAsia="zh-CN" w:bidi="ar"/>
              </w:rPr>
              <w:t xml:space="preserve">；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5FD26EC5"/>
    <w:p w14:paraId="3A1D8303">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1534182"/>
    <w:rsid w:val="01F36FCC"/>
    <w:rsid w:val="02004145"/>
    <w:rsid w:val="0215722A"/>
    <w:rsid w:val="03A522CC"/>
    <w:rsid w:val="03EC63FF"/>
    <w:rsid w:val="04167BE0"/>
    <w:rsid w:val="04FE1868"/>
    <w:rsid w:val="055210FB"/>
    <w:rsid w:val="05723828"/>
    <w:rsid w:val="060F014D"/>
    <w:rsid w:val="0639341C"/>
    <w:rsid w:val="06C9698C"/>
    <w:rsid w:val="06DE411B"/>
    <w:rsid w:val="081F710D"/>
    <w:rsid w:val="08767CBA"/>
    <w:rsid w:val="09CE1802"/>
    <w:rsid w:val="0ADA1283"/>
    <w:rsid w:val="0B837613"/>
    <w:rsid w:val="0C807FF6"/>
    <w:rsid w:val="0C922E30"/>
    <w:rsid w:val="0D18108F"/>
    <w:rsid w:val="0D9A7247"/>
    <w:rsid w:val="0ECA2A51"/>
    <w:rsid w:val="0EE36B7D"/>
    <w:rsid w:val="0F0243F5"/>
    <w:rsid w:val="0F6618B1"/>
    <w:rsid w:val="0FD0740D"/>
    <w:rsid w:val="108154AD"/>
    <w:rsid w:val="1087349F"/>
    <w:rsid w:val="10BD60DC"/>
    <w:rsid w:val="111E6007"/>
    <w:rsid w:val="11CE6168"/>
    <w:rsid w:val="12EA747F"/>
    <w:rsid w:val="13121E77"/>
    <w:rsid w:val="13455F77"/>
    <w:rsid w:val="137941FB"/>
    <w:rsid w:val="14AA41AE"/>
    <w:rsid w:val="152A4FA3"/>
    <w:rsid w:val="15B72A35"/>
    <w:rsid w:val="15C50828"/>
    <w:rsid w:val="162D1670"/>
    <w:rsid w:val="16A21E8F"/>
    <w:rsid w:val="183C6614"/>
    <w:rsid w:val="190E196B"/>
    <w:rsid w:val="19AB17F4"/>
    <w:rsid w:val="1A850712"/>
    <w:rsid w:val="1AB10CD6"/>
    <w:rsid w:val="1B932687"/>
    <w:rsid w:val="1B9F513A"/>
    <w:rsid w:val="1BCA6B98"/>
    <w:rsid w:val="1CAC06B2"/>
    <w:rsid w:val="1E8B21FB"/>
    <w:rsid w:val="1FF00B97"/>
    <w:rsid w:val="221847B8"/>
    <w:rsid w:val="2262713B"/>
    <w:rsid w:val="228D26CE"/>
    <w:rsid w:val="22CA2753"/>
    <w:rsid w:val="240E2A35"/>
    <w:rsid w:val="245876FD"/>
    <w:rsid w:val="24BA1822"/>
    <w:rsid w:val="251A293E"/>
    <w:rsid w:val="257C6C31"/>
    <w:rsid w:val="25DC55DB"/>
    <w:rsid w:val="25F86C3B"/>
    <w:rsid w:val="26396774"/>
    <w:rsid w:val="26F51311"/>
    <w:rsid w:val="270B5BBD"/>
    <w:rsid w:val="274517C9"/>
    <w:rsid w:val="27B57E67"/>
    <w:rsid w:val="27E64767"/>
    <w:rsid w:val="2940272E"/>
    <w:rsid w:val="295308A3"/>
    <w:rsid w:val="2976130F"/>
    <w:rsid w:val="2A1306E4"/>
    <w:rsid w:val="2B54029B"/>
    <w:rsid w:val="2BA53061"/>
    <w:rsid w:val="2CEF3FB8"/>
    <w:rsid w:val="2EA874E8"/>
    <w:rsid w:val="2ED5212C"/>
    <w:rsid w:val="30552FD2"/>
    <w:rsid w:val="309803CF"/>
    <w:rsid w:val="30C90D87"/>
    <w:rsid w:val="30F33128"/>
    <w:rsid w:val="322A22B1"/>
    <w:rsid w:val="33E5680D"/>
    <w:rsid w:val="346F257B"/>
    <w:rsid w:val="34BE4316"/>
    <w:rsid w:val="36026B8F"/>
    <w:rsid w:val="36F07953"/>
    <w:rsid w:val="37DC268D"/>
    <w:rsid w:val="3885236D"/>
    <w:rsid w:val="391E3890"/>
    <w:rsid w:val="399E0FFD"/>
    <w:rsid w:val="3AF066C3"/>
    <w:rsid w:val="3B057B84"/>
    <w:rsid w:val="3BEA51F5"/>
    <w:rsid w:val="3C0733A8"/>
    <w:rsid w:val="3C6A6406"/>
    <w:rsid w:val="3D2C0ADF"/>
    <w:rsid w:val="3D633667"/>
    <w:rsid w:val="3E07730C"/>
    <w:rsid w:val="3E1A36CE"/>
    <w:rsid w:val="3E1E176E"/>
    <w:rsid w:val="3E202F15"/>
    <w:rsid w:val="3E9078C4"/>
    <w:rsid w:val="3E9E0AF7"/>
    <w:rsid w:val="3F147BD8"/>
    <w:rsid w:val="3FD55619"/>
    <w:rsid w:val="404B6C28"/>
    <w:rsid w:val="40C63B34"/>
    <w:rsid w:val="40E65AF9"/>
    <w:rsid w:val="420951A2"/>
    <w:rsid w:val="424A7A77"/>
    <w:rsid w:val="42875CFB"/>
    <w:rsid w:val="42C92294"/>
    <w:rsid w:val="42F9198D"/>
    <w:rsid w:val="43132246"/>
    <w:rsid w:val="43D92990"/>
    <w:rsid w:val="43F73926"/>
    <w:rsid w:val="442F0C74"/>
    <w:rsid w:val="452F3C74"/>
    <w:rsid w:val="454930C6"/>
    <w:rsid w:val="45FA78C3"/>
    <w:rsid w:val="47675677"/>
    <w:rsid w:val="48077256"/>
    <w:rsid w:val="48F53072"/>
    <w:rsid w:val="494621F7"/>
    <w:rsid w:val="4A8F0C0B"/>
    <w:rsid w:val="4B9761E7"/>
    <w:rsid w:val="4C1B0BC7"/>
    <w:rsid w:val="4C4458EE"/>
    <w:rsid w:val="4C7F348C"/>
    <w:rsid w:val="4CA44F5B"/>
    <w:rsid w:val="4CDC0FCC"/>
    <w:rsid w:val="4DCA28A4"/>
    <w:rsid w:val="4F25246D"/>
    <w:rsid w:val="50EA7F43"/>
    <w:rsid w:val="50F06B23"/>
    <w:rsid w:val="513973A6"/>
    <w:rsid w:val="5153495F"/>
    <w:rsid w:val="51ED6A4B"/>
    <w:rsid w:val="52304CA0"/>
    <w:rsid w:val="526D1A50"/>
    <w:rsid w:val="52DA5D1C"/>
    <w:rsid w:val="53C8523F"/>
    <w:rsid w:val="54212AF2"/>
    <w:rsid w:val="54F36E09"/>
    <w:rsid w:val="55612C3A"/>
    <w:rsid w:val="558820D0"/>
    <w:rsid w:val="559612BE"/>
    <w:rsid w:val="564176C4"/>
    <w:rsid w:val="57346FE0"/>
    <w:rsid w:val="57F83763"/>
    <w:rsid w:val="58024C20"/>
    <w:rsid w:val="59494735"/>
    <w:rsid w:val="59DB49CF"/>
    <w:rsid w:val="5A3B2D3C"/>
    <w:rsid w:val="5A683FFF"/>
    <w:rsid w:val="5AA769EB"/>
    <w:rsid w:val="5AD74C21"/>
    <w:rsid w:val="5AF102AB"/>
    <w:rsid w:val="5B1D51DA"/>
    <w:rsid w:val="5B25478F"/>
    <w:rsid w:val="5B546ADF"/>
    <w:rsid w:val="5C664E8E"/>
    <w:rsid w:val="5DBF29C4"/>
    <w:rsid w:val="5EA0416F"/>
    <w:rsid w:val="5ED66352"/>
    <w:rsid w:val="5F5E0F4F"/>
    <w:rsid w:val="5F7354A7"/>
    <w:rsid w:val="60DD2497"/>
    <w:rsid w:val="62111F83"/>
    <w:rsid w:val="62B14348"/>
    <w:rsid w:val="62D85246"/>
    <w:rsid w:val="631F5A7F"/>
    <w:rsid w:val="63800070"/>
    <w:rsid w:val="63F97E40"/>
    <w:rsid w:val="640E6385"/>
    <w:rsid w:val="641454FD"/>
    <w:rsid w:val="64B20D48"/>
    <w:rsid w:val="66026746"/>
    <w:rsid w:val="662752EF"/>
    <w:rsid w:val="66DD5F97"/>
    <w:rsid w:val="67896ED4"/>
    <w:rsid w:val="68BA0755"/>
    <w:rsid w:val="68E65C61"/>
    <w:rsid w:val="693F2885"/>
    <w:rsid w:val="69BC72C7"/>
    <w:rsid w:val="6B342BA7"/>
    <w:rsid w:val="6CF54EC6"/>
    <w:rsid w:val="6D967C55"/>
    <w:rsid w:val="6D983C19"/>
    <w:rsid w:val="6F1E6154"/>
    <w:rsid w:val="6F8F0EBD"/>
    <w:rsid w:val="6FB438A3"/>
    <w:rsid w:val="701F75C9"/>
    <w:rsid w:val="703F45D4"/>
    <w:rsid w:val="708F5A33"/>
    <w:rsid w:val="71072C9F"/>
    <w:rsid w:val="719800FE"/>
    <w:rsid w:val="719C4374"/>
    <w:rsid w:val="724D47CD"/>
    <w:rsid w:val="7289234D"/>
    <w:rsid w:val="72D554BB"/>
    <w:rsid w:val="736E263D"/>
    <w:rsid w:val="7373088D"/>
    <w:rsid w:val="73F3271F"/>
    <w:rsid w:val="74A2409E"/>
    <w:rsid w:val="75062D14"/>
    <w:rsid w:val="755D5634"/>
    <w:rsid w:val="75CD4430"/>
    <w:rsid w:val="75DF4EC9"/>
    <w:rsid w:val="7638442C"/>
    <w:rsid w:val="76E43B18"/>
    <w:rsid w:val="77AF3849"/>
    <w:rsid w:val="78937BBC"/>
    <w:rsid w:val="792C41C6"/>
    <w:rsid w:val="79852FF6"/>
    <w:rsid w:val="7ACC2155"/>
    <w:rsid w:val="7C156B31"/>
    <w:rsid w:val="7C5E095D"/>
    <w:rsid w:val="7CAC1AA7"/>
    <w:rsid w:val="7CB80EEC"/>
    <w:rsid w:val="7CC32ED8"/>
    <w:rsid w:val="7D105E6B"/>
    <w:rsid w:val="7D1C36F2"/>
    <w:rsid w:val="7DB32A41"/>
    <w:rsid w:val="7DD66E82"/>
    <w:rsid w:val="7F0B578D"/>
    <w:rsid w:val="7F131561"/>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annotation text"/>
    <w:basedOn w:val="1"/>
    <w:semiHidden/>
    <w:unhideWhenUsed/>
    <w:qFormat/>
    <w:uiPriority w:val="99"/>
    <w:pPr>
      <w:jc w:val="left"/>
    </w:pPr>
  </w:style>
  <w:style w:type="paragraph" w:styleId="10">
    <w:name w:val="Body Text"/>
    <w:basedOn w:val="1"/>
    <w:link w:val="31"/>
    <w:autoRedefine/>
    <w:qFormat/>
    <w:uiPriority w:val="0"/>
    <w:pPr>
      <w:spacing w:after="120"/>
    </w:pPr>
    <w:rPr>
      <w:rFonts w:ascii="Times New Roman" w:hAnsi="Times New Roman" w:eastAsia="宋体" w:cs="Times New Roman"/>
      <w:kern w:val="0"/>
      <w:sz w:val="24"/>
      <w:szCs w:val="24"/>
    </w:r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next w:val="1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
    <w:name w:val="*正文"/>
    <w:basedOn w:val="1"/>
    <w:qFormat/>
    <w:uiPriority w:val="0"/>
    <w:rPr>
      <w:rFonts w:ascii="宋体" w:hAnsi="宋体"/>
      <w:kern w:val="0"/>
      <w:szCs w:val="24"/>
    </w:rPr>
  </w:style>
  <w:style w:type="paragraph" w:styleId="18">
    <w:name w:val="Body Text First Indent"/>
    <w:basedOn w:val="10"/>
    <w:next w:val="19"/>
    <w:autoRedefine/>
    <w:unhideWhenUsed/>
    <w:qFormat/>
    <w:uiPriority w:val="99"/>
    <w:pPr>
      <w:ind w:firstLine="420" w:firstLineChars="100"/>
    </w:pPr>
  </w:style>
  <w:style w:type="paragraph" w:styleId="19">
    <w:name w:val="Body Text First Indent 2"/>
    <w:basedOn w:val="11"/>
    <w:autoRedefine/>
    <w:qFormat/>
    <w:uiPriority w:val="0"/>
    <w:pPr>
      <w:spacing w:after="120"/>
      <w:ind w:firstLine="420" w:firstLineChars="200"/>
    </w:pPr>
    <w:rPr>
      <w:rFonts w:ascii="Times New Roman" w:hAnsi="Times New Roman"/>
      <w:szCs w:val="20"/>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标题 1 Char"/>
    <w:basedOn w:val="22"/>
    <w:link w:val="2"/>
    <w:autoRedefine/>
    <w:qFormat/>
    <w:uiPriority w:val="9"/>
    <w:rPr>
      <w:b/>
      <w:bCs/>
      <w:kern w:val="44"/>
      <w:sz w:val="44"/>
      <w:szCs w:val="44"/>
    </w:rPr>
  </w:style>
  <w:style w:type="character" w:customStyle="1" w:styleId="26">
    <w:name w:val="标题 2 Char"/>
    <w:basedOn w:val="22"/>
    <w:link w:val="3"/>
    <w:autoRedefine/>
    <w:qFormat/>
    <w:uiPriority w:val="9"/>
    <w:rPr>
      <w:rFonts w:asciiTheme="majorHAnsi" w:hAnsiTheme="majorHAnsi" w:eastAsiaTheme="majorEastAsia" w:cstheme="majorBidi"/>
      <w:b/>
      <w:bCs/>
      <w:sz w:val="32"/>
      <w:szCs w:val="32"/>
    </w:rPr>
  </w:style>
  <w:style w:type="character" w:customStyle="1" w:styleId="27">
    <w:name w:val="标题 3 Char"/>
    <w:basedOn w:val="22"/>
    <w:link w:val="4"/>
    <w:autoRedefine/>
    <w:qFormat/>
    <w:uiPriority w:val="9"/>
    <w:rPr>
      <w:b/>
      <w:bCs/>
      <w:sz w:val="32"/>
      <w:szCs w:val="32"/>
    </w:rPr>
  </w:style>
  <w:style w:type="character" w:customStyle="1" w:styleId="28">
    <w:name w:val="标题 4 Char"/>
    <w:basedOn w:val="22"/>
    <w:link w:val="5"/>
    <w:autoRedefine/>
    <w:qFormat/>
    <w:uiPriority w:val="9"/>
    <w:rPr>
      <w:rFonts w:asciiTheme="majorHAnsi" w:hAnsiTheme="majorHAnsi" w:eastAsiaTheme="majorEastAsia" w:cstheme="majorBidi"/>
      <w:b/>
      <w:bCs/>
      <w:sz w:val="28"/>
      <w:szCs w:val="28"/>
    </w:rPr>
  </w:style>
  <w:style w:type="character" w:customStyle="1" w:styleId="29">
    <w:name w:val="标题 5 Char"/>
    <w:basedOn w:val="22"/>
    <w:link w:val="6"/>
    <w:autoRedefine/>
    <w:qFormat/>
    <w:uiPriority w:val="9"/>
    <w:rPr>
      <w:b/>
      <w:bCs/>
      <w:sz w:val="28"/>
      <w:szCs w:val="28"/>
    </w:rPr>
  </w:style>
  <w:style w:type="character" w:customStyle="1" w:styleId="30">
    <w:name w:val="标题 6 Char"/>
    <w:basedOn w:val="22"/>
    <w:link w:val="7"/>
    <w:autoRedefine/>
    <w:qFormat/>
    <w:uiPriority w:val="9"/>
    <w:rPr>
      <w:rFonts w:asciiTheme="majorHAnsi" w:hAnsiTheme="majorHAnsi" w:eastAsiaTheme="majorEastAsia" w:cstheme="majorBidi"/>
      <w:b/>
      <w:bCs/>
      <w:sz w:val="24"/>
      <w:szCs w:val="24"/>
    </w:rPr>
  </w:style>
  <w:style w:type="character" w:customStyle="1" w:styleId="31">
    <w:name w:val="正文文本 Char"/>
    <w:basedOn w:val="22"/>
    <w:link w:val="10"/>
    <w:autoRedefine/>
    <w:qFormat/>
    <w:uiPriority w:val="0"/>
    <w:rPr>
      <w:rFonts w:ascii="Times New Roman" w:hAnsi="Times New Roman" w:eastAsia="宋体" w:cs="Times New Roman"/>
      <w:kern w:val="0"/>
      <w:sz w:val="24"/>
      <w:szCs w:val="24"/>
    </w:rPr>
  </w:style>
  <w:style w:type="character" w:customStyle="1" w:styleId="32">
    <w:name w:val="NormalCharacter"/>
    <w:autoRedefine/>
    <w:qFormat/>
    <w:uiPriority w:val="99"/>
  </w:style>
  <w:style w:type="character" w:customStyle="1" w:styleId="33">
    <w:name w:val="font21"/>
    <w:basedOn w:val="22"/>
    <w:autoRedefine/>
    <w:qFormat/>
    <w:uiPriority w:val="0"/>
    <w:rPr>
      <w:rFonts w:hint="eastAsia" w:ascii="宋体" w:hAnsi="宋体" w:eastAsia="宋体" w:cs="宋体"/>
      <w:color w:val="000000"/>
      <w:sz w:val="20"/>
      <w:szCs w:val="20"/>
      <w:u w:val="none"/>
    </w:rPr>
  </w:style>
  <w:style w:type="character" w:customStyle="1" w:styleId="34">
    <w:name w:val="font41"/>
    <w:basedOn w:val="22"/>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5013</Words>
  <Characters>5952</Characters>
  <Lines>39</Lines>
  <Paragraphs>10</Paragraphs>
  <TotalTime>5</TotalTime>
  <ScaleCrop>false</ScaleCrop>
  <LinksUpToDate>false</LinksUpToDate>
  <CharactersWithSpaces>6059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2025-09-15T00:20:00Z</cp:lastPrinted>
  <dcterms:modified xsi:type="dcterms:W3CDTF">2025-09-15T00:28:41Z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