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73DFE2">
      <w:pPr>
        <w:rPr>
          <w:rFonts w:cs="宋体" w:asciiTheme="minorEastAsia" w:hAnsiTheme="minorEastAsia"/>
          <w:kern w:val="0"/>
          <w:sz w:val="28"/>
          <w:szCs w:val="28"/>
        </w:rPr>
      </w:pPr>
    </w:p>
    <w:p w14:paraId="3C9BEBFB">
      <w:pPr>
        <w:pStyle w:val="2"/>
      </w:pPr>
    </w:p>
    <w:p w14:paraId="77F4DFBA">
      <w:pPr>
        <w:pStyle w:val="2"/>
      </w:pPr>
    </w:p>
    <w:p w14:paraId="32115780">
      <w:pPr>
        <w:jc w:val="center"/>
        <w:rPr>
          <w:rFonts w:ascii="华文新魏" w:eastAsia="华文新魏"/>
          <w:b/>
          <w:sz w:val="100"/>
          <w:szCs w:val="100"/>
        </w:rPr>
      </w:pPr>
      <w:r>
        <w:rPr>
          <w:rFonts w:hint="eastAsia" w:ascii="华文新魏" w:eastAsia="华文新魏"/>
          <w:b/>
          <w:sz w:val="100"/>
          <w:szCs w:val="100"/>
        </w:rPr>
        <w:t>竞争性谈判文件</w:t>
      </w:r>
    </w:p>
    <w:p w14:paraId="7955C813">
      <w:pPr>
        <w:widowControl/>
        <w:spacing w:line="500" w:lineRule="exact"/>
        <w:ind w:firstLine="560"/>
        <w:jc w:val="center"/>
        <w:rPr>
          <w:rFonts w:ascii="宋体" w:hAnsi="宋体" w:eastAsia="宋体" w:cs="宋体"/>
          <w:b/>
          <w:bCs/>
          <w:kern w:val="0"/>
          <w:sz w:val="28"/>
          <w:szCs w:val="28"/>
        </w:rPr>
      </w:pPr>
    </w:p>
    <w:p w14:paraId="7A6E2612">
      <w:pPr>
        <w:pStyle w:val="2"/>
      </w:pPr>
    </w:p>
    <w:p w14:paraId="398E6DB9"/>
    <w:p w14:paraId="0D73026B">
      <w:pPr>
        <w:pStyle w:val="2"/>
      </w:pPr>
    </w:p>
    <w:p w14:paraId="65F9D3F8">
      <w:pPr>
        <w:pStyle w:val="2"/>
      </w:pPr>
    </w:p>
    <w:p w14:paraId="75C9BE05">
      <w:pPr>
        <w:spacing w:line="500" w:lineRule="exact"/>
        <w:jc w:val="left"/>
        <w:rPr>
          <w:rFonts w:cs="Times New Roman" w:asciiTheme="minorEastAsia" w:hAnsiTheme="minorEastAsia"/>
          <w:b/>
          <w:bCs/>
          <w:w w:val="90"/>
          <w:sz w:val="36"/>
          <w:szCs w:val="36"/>
        </w:rPr>
      </w:pPr>
      <w:r>
        <w:rPr>
          <w:rFonts w:hint="eastAsia" w:cs="Times New Roman" w:asciiTheme="minorEastAsia" w:hAnsiTheme="minorEastAsia"/>
          <w:b/>
          <w:bCs/>
          <w:w w:val="90"/>
          <w:sz w:val="36"/>
          <w:szCs w:val="36"/>
        </w:rPr>
        <w:t>项目名称：启东市自来水厂有限公司202</w:t>
      </w:r>
      <w:r>
        <w:rPr>
          <w:rFonts w:hint="eastAsia" w:cs="Times New Roman" w:asciiTheme="minorEastAsia" w:hAnsiTheme="minorEastAsia"/>
          <w:b/>
          <w:bCs/>
          <w:w w:val="90"/>
          <w:sz w:val="36"/>
          <w:szCs w:val="36"/>
          <w:lang w:val="en-US" w:eastAsia="zh-CN"/>
        </w:rPr>
        <w:t>5</w:t>
      </w:r>
      <w:r>
        <w:rPr>
          <w:rFonts w:hint="eastAsia" w:cs="Times New Roman" w:asciiTheme="minorEastAsia" w:hAnsiTheme="minorEastAsia"/>
          <w:b/>
          <w:bCs/>
          <w:w w:val="90"/>
          <w:sz w:val="36"/>
          <w:szCs w:val="36"/>
        </w:rPr>
        <w:t>-202</w:t>
      </w:r>
      <w:r>
        <w:rPr>
          <w:rFonts w:hint="eastAsia" w:cs="Times New Roman" w:asciiTheme="minorEastAsia" w:hAnsiTheme="minorEastAsia"/>
          <w:b/>
          <w:bCs/>
          <w:w w:val="90"/>
          <w:sz w:val="36"/>
          <w:szCs w:val="36"/>
          <w:lang w:val="en-US" w:eastAsia="zh-CN"/>
        </w:rPr>
        <w:t>6</w:t>
      </w:r>
      <w:r>
        <w:rPr>
          <w:rFonts w:hint="eastAsia" w:cs="Times New Roman" w:asciiTheme="minorEastAsia" w:hAnsiTheme="minorEastAsia"/>
          <w:b/>
          <w:bCs/>
          <w:w w:val="90"/>
          <w:sz w:val="36"/>
          <w:szCs w:val="36"/>
        </w:rPr>
        <w:t>年度收费系统、集抄平台的三级等保测评项目</w:t>
      </w:r>
    </w:p>
    <w:p w14:paraId="288A3AD8">
      <w:pPr>
        <w:pStyle w:val="2"/>
      </w:pPr>
    </w:p>
    <w:p w14:paraId="65985009"/>
    <w:p w14:paraId="13EE26AA">
      <w:pPr>
        <w:pStyle w:val="2"/>
      </w:pPr>
    </w:p>
    <w:p w14:paraId="202E817C"/>
    <w:p w14:paraId="14710305">
      <w:pPr>
        <w:pStyle w:val="2"/>
      </w:pPr>
    </w:p>
    <w:p w14:paraId="63BE7A3E"/>
    <w:p w14:paraId="3B2D34FC">
      <w:pPr>
        <w:pStyle w:val="2"/>
      </w:pPr>
    </w:p>
    <w:p w14:paraId="7396C41E"/>
    <w:p w14:paraId="69B140C3">
      <w:pPr>
        <w:pStyle w:val="2"/>
      </w:pPr>
    </w:p>
    <w:p w14:paraId="511D1CED"/>
    <w:p w14:paraId="07C87A90">
      <w:pPr>
        <w:pStyle w:val="2"/>
      </w:pPr>
    </w:p>
    <w:p w14:paraId="3B1D7BA1"/>
    <w:p w14:paraId="7C19F2BE"/>
    <w:p w14:paraId="77CFEDB7">
      <w:pPr>
        <w:pStyle w:val="2"/>
      </w:pPr>
    </w:p>
    <w:p w14:paraId="7D264CD4"/>
    <w:p w14:paraId="47A12F06">
      <w:pPr>
        <w:pStyle w:val="2"/>
      </w:pPr>
    </w:p>
    <w:p w14:paraId="4B94148C"/>
    <w:p w14:paraId="0AC010FD">
      <w:pPr>
        <w:pStyle w:val="2"/>
      </w:pPr>
    </w:p>
    <w:p w14:paraId="1CFE5866"/>
    <w:p w14:paraId="5C4D4748">
      <w:pPr>
        <w:jc w:val="center"/>
        <w:rPr>
          <w:rFonts w:asciiTheme="minorEastAsia" w:hAnsiTheme="minorEastAsia"/>
          <w:b/>
          <w:sz w:val="36"/>
          <w:szCs w:val="36"/>
        </w:rPr>
      </w:pPr>
      <w:r>
        <w:rPr>
          <w:rFonts w:hint="eastAsia" w:asciiTheme="minorEastAsia" w:hAnsiTheme="minorEastAsia"/>
          <w:b/>
          <w:sz w:val="36"/>
          <w:szCs w:val="36"/>
        </w:rPr>
        <w:t>启东市自来水厂有限公司</w:t>
      </w:r>
    </w:p>
    <w:p w14:paraId="4743E622">
      <w:pPr>
        <w:jc w:val="center"/>
        <w:rPr>
          <w:rFonts w:asciiTheme="minorEastAsia" w:hAnsiTheme="minorEastAsia"/>
          <w:b/>
          <w:sz w:val="36"/>
          <w:szCs w:val="36"/>
        </w:rPr>
      </w:pPr>
      <w:r>
        <w:rPr>
          <w:rFonts w:hint="eastAsia" w:asciiTheme="minorEastAsia" w:hAnsiTheme="minorEastAsia"/>
          <w:b/>
          <w:sz w:val="36"/>
          <w:szCs w:val="36"/>
        </w:rPr>
        <w:t>二○二</w:t>
      </w:r>
      <w:r>
        <w:rPr>
          <w:rFonts w:hint="eastAsia" w:asciiTheme="minorEastAsia" w:hAnsiTheme="minorEastAsia"/>
          <w:b/>
          <w:sz w:val="36"/>
          <w:szCs w:val="36"/>
          <w:lang w:val="en-US" w:eastAsia="zh-CN"/>
        </w:rPr>
        <w:t>五</w:t>
      </w:r>
      <w:r>
        <w:rPr>
          <w:rFonts w:hint="eastAsia" w:asciiTheme="minorEastAsia" w:hAnsiTheme="minorEastAsia"/>
          <w:b/>
          <w:sz w:val="36"/>
          <w:szCs w:val="36"/>
        </w:rPr>
        <w:t>年八月</w:t>
      </w:r>
      <w:r>
        <w:rPr>
          <w:rFonts w:hint="eastAsia" w:asciiTheme="minorEastAsia" w:hAnsiTheme="minorEastAsia"/>
          <w:b/>
          <w:sz w:val="36"/>
          <w:szCs w:val="36"/>
          <w:lang w:val="en-US" w:eastAsia="zh-CN"/>
        </w:rPr>
        <w:t>二十七</w:t>
      </w:r>
      <w:r>
        <w:rPr>
          <w:rFonts w:hint="eastAsia" w:asciiTheme="minorEastAsia" w:hAnsiTheme="minorEastAsia"/>
          <w:b/>
          <w:sz w:val="36"/>
          <w:szCs w:val="36"/>
        </w:rPr>
        <w:t>日</w:t>
      </w:r>
    </w:p>
    <w:p w14:paraId="63EAB007">
      <w:pPr>
        <w:pStyle w:val="2"/>
      </w:pPr>
    </w:p>
    <w:p w14:paraId="3367875D"/>
    <w:p w14:paraId="5AE7D9A8">
      <w:pPr>
        <w:adjustRightInd w:val="0"/>
        <w:snapToGrid w:val="0"/>
        <w:spacing w:afterLines="50" w:line="360" w:lineRule="auto"/>
        <w:ind w:left="-158" w:leftChars="-75"/>
        <w:rPr>
          <w:rFonts w:ascii="宋体" w:hAnsi="宋体" w:eastAsia="宋体" w:cs="Times New Roman"/>
          <w:b/>
          <w:snapToGrid w:val="0"/>
          <w:sz w:val="24"/>
          <w:szCs w:val="28"/>
        </w:rPr>
      </w:pPr>
    </w:p>
    <w:p w14:paraId="20EB01B4">
      <w:pPr>
        <w:pStyle w:val="2"/>
      </w:pPr>
    </w:p>
    <w:p w14:paraId="21010F12">
      <w:pPr>
        <w:widowControl/>
        <w:spacing w:line="500" w:lineRule="exact"/>
        <w:rPr>
          <w:rFonts w:ascii="宋体" w:hAnsi="宋体" w:eastAsia="宋体" w:cs="宋体"/>
          <w:b/>
          <w:bCs/>
          <w:kern w:val="0"/>
          <w:sz w:val="44"/>
          <w:szCs w:val="44"/>
        </w:rPr>
      </w:pPr>
    </w:p>
    <w:p w14:paraId="73C254AC">
      <w:pPr>
        <w:widowControl/>
        <w:spacing w:line="500" w:lineRule="exact"/>
        <w:ind w:firstLine="3379" w:firstLineChars="765"/>
        <w:rPr>
          <w:rFonts w:ascii="宋体" w:hAnsi="宋体" w:eastAsia="宋体" w:cs="宋体"/>
          <w:b/>
          <w:bCs/>
          <w:kern w:val="0"/>
          <w:sz w:val="44"/>
          <w:szCs w:val="44"/>
        </w:rPr>
      </w:pPr>
      <w:r>
        <w:rPr>
          <w:rFonts w:hint="eastAsia" w:ascii="宋体" w:hAnsi="宋体" w:eastAsia="宋体" w:cs="宋体"/>
          <w:b/>
          <w:bCs/>
          <w:kern w:val="0"/>
          <w:sz w:val="44"/>
          <w:szCs w:val="44"/>
        </w:rPr>
        <w:t>目   录</w:t>
      </w:r>
    </w:p>
    <w:p w14:paraId="5E53E8EF">
      <w:pPr>
        <w:pStyle w:val="2"/>
      </w:pPr>
    </w:p>
    <w:p w14:paraId="10766DF3"/>
    <w:p w14:paraId="40BFF7F8"/>
    <w:p w14:paraId="4B1F6F2F">
      <w:pPr>
        <w:widowControl/>
        <w:snapToGrid w:val="0"/>
        <w:spacing w:line="480" w:lineRule="auto"/>
        <w:ind w:firstLine="700" w:firstLineChars="250"/>
        <w:jc w:val="left"/>
        <w:rPr>
          <w:rFonts w:ascii="宋体" w:hAnsi="宋体" w:eastAsia="宋体" w:cs="宋体"/>
          <w:bCs/>
          <w:kern w:val="0"/>
          <w:sz w:val="28"/>
          <w:szCs w:val="28"/>
        </w:rPr>
      </w:pPr>
      <w:r>
        <w:rPr>
          <w:rFonts w:hint="eastAsia" w:ascii="宋体" w:hAnsi="宋体" w:eastAsia="宋体" w:cs="宋体"/>
          <w:bCs/>
          <w:kern w:val="0"/>
          <w:sz w:val="28"/>
          <w:szCs w:val="28"/>
        </w:rPr>
        <w:t>第一部分  竞争性谈判公告</w:t>
      </w:r>
    </w:p>
    <w:p w14:paraId="201AE476">
      <w:pPr>
        <w:widowControl/>
        <w:snapToGrid w:val="0"/>
        <w:spacing w:line="480" w:lineRule="auto"/>
        <w:ind w:firstLine="700" w:firstLineChars="250"/>
        <w:jc w:val="left"/>
        <w:rPr>
          <w:rFonts w:ascii="宋体" w:hAnsi="宋体" w:eastAsia="宋体" w:cs="宋体"/>
          <w:bCs/>
          <w:kern w:val="0"/>
          <w:sz w:val="28"/>
          <w:szCs w:val="28"/>
        </w:rPr>
      </w:pPr>
      <w:r>
        <w:rPr>
          <w:rFonts w:hint="eastAsia" w:ascii="宋体" w:hAnsi="宋体" w:eastAsia="宋体" w:cs="宋体"/>
          <w:bCs/>
          <w:kern w:val="0"/>
          <w:sz w:val="28"/>
          <w:szCs w:val="28"/>
        </w:rPr>
        <w:t>第二部分  谈判须知</w:t>
      </w:r>
    </w:p>
    <w:p w14:paraId="44737B32">
      <w:pPr>
        <w:widowControl/>
        <w:snapToGrid w:val="0"/>
        <w:spacing w:line="480" w:lineRule="auto"/>
        <w:ind w:firstLine="700" w:firstLineChars="250"/>
        <w:jc w:val="left"/>
        <w:rPr>
          <w:rFonts w:ascii="宋体" w:hAnsi="宋体" w:eastAsia="宋体" w:cs="宋体"/>
          <w:bCs/>
          <w:kern w:val="0"/>
          <w:sz w:val="28"/>
          <w:szCs w:val="28"/>
        </w:rPr>
      </w:pPr>
      <w:r>
        <w:rPr>
          <w:rFonts w:hint="eastAsia" w:ascii="宋体" w:hAnsi="宋体" w:eastAsia="宋体" w:cs="宋体"/>
          <w:bCs/>
          <w:kern w:val="0"/>
          <w:sz w:val="28"/>
          <w:szCs w:val="28"/>
        </w:rPr>
        <w:t>第三部分  项目需求</w:t>
      </w:r>
    </w:p>
    <w:p w14:paraId="140B9B27">
      <w:pPr>
        <w:widowControl/>
        <w:snapToGrid w:val="0"/>
        <w:spacing w:line="480" w:lineRule="auto"/>
        <w:ind w:firstLine="700" w:firstLineChars="250"/>
        <w:jc w:val="left"/>
        <w:rPr>
          <w:rFonts w:ascii="宋体" w:hAnsi="宋体" w:eastAsia="宋体" w:cs="宋体"/>
          <w:bCs/>
          <w:kern w:val="0"/>
          <w:sz w:val="28"/>
          <w:szCs w:val="28"/>
        </w:rPr>
      </w:pPr>
      <w:r>
        <w:rPr>
          <w:rFonts w:hint="eastAsia" w:ascii="宋体" w:hAnsi="宋体" w:eastAsia="宋体" w:cs="宋体"/>
          <w:bCs/>
          <w:kern w:val="0"/>
          <w:sz w:val="28"/>
          <w:szCs w:val="28"/>
        </w:rPr>
        <w:t>第四部分  评审方法和评审标准</w:t>
      </w:r>
    </w:p>
    <w:p w14:paraId="712D071B">
      <w:pPr>
        <w:widowControl/>
        <w:snapToGrid w:val="0"/>
        <w:spacing w:line="480" w:lineRule="auto"/>
        <w:ind w:firstLine="700" w:firstLineChars="250"/>
        <w:jc w:val="left"/>
        <w:rPr>
          <w:rFonts w:ascii="宋体" w:hAnsi="宋体" w:eastAsia="宋体" w:cs="宋体"/>
          <w:bCs/>
          <w:kern w:val="0"/>
          <w:sz w:val="28"/>
          <w:szCs w:val="28"/>
        </w:rPr>
      </w:pPr>
      <w:r>
        <w:rPr>
          <w:rFonts w:hint="eastAsia" w:ascii="宋体" w:hAnsi="宋体" w:eastAsia="宋体" w:cs="宋体"/>
          <w:bCs/>
          <w:kern w:val="0"/>
          <w:sz w:val="28"/>
          <w:szCs w:val="28"/>
        </w:rPr>
        <w:t>第五部分  响应文件组成</w:t>
      </w:r>
    </w:p>
    <w:p w14:paraId="3969E90D">
      <w:pPr>
        <w:widowControl/>
        <w:spacing w:line="500" w:lineRule="exact"/>
        <w:jc w:val="center"/>
        <w:rPr>
          <w:rFonts w:ascii="宋体" w:hAnsi="宋体" w:eastAsia="宋体" w:cs="宋体"/>
          <w:b/>
          <w:kern w:val="0"/>
          <w:sz w:val="28"/>
          <w:szCs w:val="28"/>
        </w:rPr>
      </w:pPr>
    </w:p>
    <w:p w14:paraId="59BDA945">
      <w:pPr>
        <w:widowControl/>
        <w:jc w:val="left"/>
        <w:rPr>
          <w:rFonts w:ascii="宋体" w:hAnsi="宋体" w:eastAsia="宋体" w:cs="宋体"/>
          <w:b/>
          <w:kern w:val="0"/>
          <w:sz w:val="28"/>
          <w:szCs w:val="28"/>
        </w:rPr>
      </w:pPr>
      <w:r>
        <w:rPr>
          <w:rFonts w:ascii="宋体" w:hAnsi="宋体" w:eastAsia="宋体" w:cs="宋体"/>
          <w:b/>
          <w:kern w:val="0"/>
          <w:sz w:val="28"/>
          <w:szCs w:val="28"/>
        </w:rPr>
        <w:br w:type="page"/>
      </w:r>
    </w:p>
    <w:p w14:paraId="49BA0537">
      <w:pPr>
        <w:widowControl/>
        <w:spacing w:line="500" w:lineRule="exact"/>
        <w:jc w:val="center"/>
        <w:rPr>
          <w:rFonts w:ascii="宋体" w:hAnsi="宋体" w:eastAsia="宋体" w:cs="宋体"/>
          <w:b/>
          <w:kern w:val="0"/>
          <w:sz w:val="28"/>
          <w:szCs w:val="28"/>
        </w:rPr>
      </w:pPr>
      <w:r>
        <w:rPr>
          <w:rFonts w:hint="eastAsia" w:ascii="宋体" w:hAnsi="宋体" w:eastAsia="宋体" w:cs="宋体"/>
          <w:b/>
          <w:kern w:val="0"/>
          <w:sz w:val="28"/>
          <w:szCs w:val="28"/>
        </w:rPr>
        <w:t>第一部分  竞争性谈判公告</w:t>
      </w:r>
    </w:p>
    <w:p w14:paraId="562EC139">
      <w:pPr>
        <w:pStyle w:val="2"/>
      </w:pPr>
    </w:p>
    <w:p w14:paraId="62CCD64A">
      <w:pPr>
        <w:snapToGrid w:val="0"/>
        <w:spacing w:line="480" w:lineRule="exact"/>
        <w:ind w:firstLine="480" w:firstLineChars="200"/>
        <w:rPr>
          <w:rFonts w:asciiTheme="minorEastAsia" w:hAnsiTheme="minorEastAsia"/>
          <w:sz w:val="24"/>
          <w:szCs w:val="24"/>
        </w:rPr>
      </w:pPr>
      <w:r>
        <w:rPr>
          <w:rFonts w:hint="eastAsia" w:asciiTheme="minorEastAsia" w:hAnsiTheme="minorEastAsia"/>
          <w:sz w:val="24"/>
          <w:szCs w:val="24"/>
        </w:rPr>
        <w:t>启东市自来水厂有限公司就启东市自来水厂有限公司</w:t>
      </w:r>
      <w:r>
        <w:rPr>
          <w:rFonts w:hint="eastAsia" w:asciiTheme="minorEastAsia" w:hAnsiTheme="minorEastAsia"/>
          <w:sz w:val="24"/>
          <w:szCs w:val="24"/>
          <w:lang w:eastAsia="zh-CN"/>
        </w:rPr>
        <w:t>2025-2026</w:t>
      </w:r>
      <w:r>
        <w:rPr>
          <w:rFonts w:hint="eastAsia" w:asciiTheme="minorEastAsia" w:hAnsiTheme="minorEastAsia"/>
          <w:sz w:val="24"/>
          <w:szCs w:val="24"/>
        </w:rPr>
        <w:t>年度收费系统、集抄平台的三级等保测评项目进行竞争性谈判采购，欢迎符合条件的供应商参加谈判。</w:t>
      </w:r>
    </w:p>
    <w:p w14:paraId="1211675B">
      <w:pPr>
        <w:snapToGrid w:val="0"/>
        <w:spacing w:line="480" w:lineRule="exact"/>
        <w:ind w:firstLine="482" w:firstLineChars="200"/>
        <w:rPr>
          <w:rFonts w:asciiTheme="minorEastAsia" w:hAnsiTheme="minorEastAsia"/>
          <w:b/>
          <w:sz w:val="24"/>
          <w:szCs w:val="24"/>
          <w:shd w:val="clear" w:color="auto" w:fill="FFFFFF"/>
        </w:rPr>
      </w:pPr>
      <w:r>
        <w:rPr>
          <w:rFonts w:hint="eastAsia" w:asciiTheme="minorEastAsia" w:hAnsiTheme="minorEastAsia"/>
          <w:b/>
          <w:sz w:val="24"/>
          <w:szCs w:val="24"/>
          <w:shd w:val="clear" w:color="auto" w:fill="FFFFFF"/>
        </w:rPr>
        <w:t>项目概况</w:t>
      </w:r>
    </w:p>
    <w:p w14:paraId="32CE31B5">
      <w:pPr>
        <w:spacing w:line="480" w:lineRule="exact"/>
        <w:ind w:firstLine="480" w:firstLineChars="200"/>
        <w:rPr>
          <w:rFonts w:asciiTheme="minorEastAsia" w:hAnsiTheme="minorEastAsia"/>
          <w:sz w:val="24"/>
          <w:szCs w:val="24"/>
          <w:highlight w:val="yellow"/>
        </w:rPr>
      </w:pPr>
      <w:r>
        <w:rPr>
          <w:rFonts w:hint="eastAsia" w:asciiTheme="minorEastAsia" w:hAnsiTheme="minorEastAsia"/>
          <w:sz w:val="24"/>
          <w:szCs w:val="24"/>
        </w:rPr>
        <w:t>启东市自来水厂有限公司</w:t>
      </w:r>
      <w:r>
        <w:rPr>
          <w:rFonts w:hint="eastAsia" w:asciiTheme="minorEastAsia" w:hAnsiTheme="minorEastAsia"/>
          <w:sz w:val="24"/>
          <w:szCs w:val="24"/>
          <w:lang w:eastAsia="zh-CN"/>
        </w:rPr>
        <w:t>2025-2026</w:t>
      </w:r>
      <w:r>
        <w:rPr>
          <w:rFonts w:hint="eastAsia" w:asciiTheme="minorEastAsia" w:hAnsiTheme="minorEastAsia"/>
          <w:sz w:val="24"/>
          <w:szCs w:val="24"/>
        </w:rPr>
        <w:t>年度收费系统、集抄平台的三级等保测评项目的潜在供应商在启东市自来水有限公司网站获取谈判文件，并于202</w:t>
      </w:r>
      <w:r>
        <w:rPr>
          <w:rFonts w:hint="eastAsia" w:asciiTheme="minorEastAsia" w:hAnsiTheme="minorEastAsia"/>
          <w:sz w:val="24"/>
          <w:szCs w:val="24"/>
          <w:lang w:val="en-US" w:eastAsia="zh-CN"/>
        </w:rPr>
        <w:t>5</w:t>
      </w:r>
      <w:r>
        <w:rPr>
          <w:rFonts w:hint="eastAsia" w:asciiTheme="minorEastAsia" w:hAnsiTheme="minorEastAsia"/>
          <w:sz w:val="24"/>
          <w:szCs w:val="24"/>
        </w:rPr>
        <w:t>年</w:t>
      </w:r>
      <w:r>
        <w:rPr>
          <w:rFonts w:hint="eastAsia" w:asciiTheme="minorEastAsia" w:hAnsiTheme="minorEastAsia"/>
          <w:sz w:val="24"/>
          <w:szCs w:val="24"/>
          <w:lang w:val="en-US" w:eastAsia="zh-CN"/>
        </w:rPr>
        <w:t>9</w:t>
      </w:r>
      <w:r>
        <w:rPr>
          <w:rFonts w:hint="eastAsia" w:asciiTheme="minorEastAsia" w:hAnsiTheme="minorEastAsia"/>
          <w:sz w:val="24"/>
          <w:szCs w:val="24"/>
        </w:rPr>
        <w:t>月</w:t>
      </w:r>
      <w:r>
        <w:rPr>
          <w:rFonts w:hint="eastAsia" w:asciiTheme="minorEastAsia" w:hAnsiTheme="minorEastAsia"/>
          <w:sz w:val="24"/>
          <w:szCs w:val="24"/>
          <w:lang w:val="en-US" w:eastAsia="zh-CN"/>
        </w:rPr>
        <w:t>2</w:t>
      </w:r>
      <w:r>
        <w:rPr>
          <w:rFonts w:hint="eastAsia" w:asciiTheme="minorEastAsia" w:hAnsiTheme="minorEastAsia"/>
          <w:sz w:val="24"/>
          <w:szCs w:val="24"/>
        </w:rPr>
        <w:t>日 9点</w:t>
      </w:r>
      <w:r>
        <w:rPr>
          <w:rFonts w:hint="eastAsia" w:asciiTheme="minorEastAsia" w:hAnsiTheme="minorEastAsia"/>
          <w:sz w:val="24"/>
          <w:szCs w:val="24"/>
          <w:lang w:val="en-US" w:eastAsia="zh-CN"/>
        </w:rPr>
        <w:t>0</w:t>
      </w:r>
      <w:r>
        <w:rPr>
          <w:rFonts w:hint="eastAsia" w:asciiTheme="minorEastAsia" w:hAnsiTheme="minorEastAsia"/>
          <w:sz w:val="24"/>
          <w:szCs w:val="24"/>
        </w:rPr>
        <w:t>0分（北京时间）前提交响应文件。</w:t>
      </w:r>
    </w:p>
    <w:p w14:paraId="600C6218">
      <w:pPr>
        <w:snapToGrid w:val="0"/>
        <w:spacing w:line="480" w:lineRule="exact"/>
        <w:ind w:left="1764" w:leftChars="266" w:hanging="1205" w:hangingChars="500"/>
        <w:rPr>
          <w:rFonts w:asciiTheme="minorEastAsia" w:hAnsiTheme="minorEastAsia"/>
          <w:b/>
          <w:bCs/>
          <w:sz w:val="24"/>
          <w:szCs w:val="24"/>
          <w:shd w:val="clear" w:color="auto" w:fill="FFFFFF"/>
        </w:rPr>
      </w:pPr>
      <w:r>
        <w:rPr>
          <w:rFonts w:hint="eastAsia" w:asciiTheme="minorEastAsia" w:hAnsiTheme="minorEastAsia"/>
          <w:b/>
          <w:bCs/>
          <w:sz w:val="24"/>
          <w:szCs w:val="24"/>
          <w:shd w:val="clear" w:color="auto" w:fill="FFFFFF"/>
        </w:rPr>
        <w:t>一、项目基本情况</w:t>
      </w:r>
    </w:p>
    <w:p w14:paraId="3261CAE7">
      <w:pPr>
        <w:spacing w:line="480" w:lineRule="exact"/>
        <w:ind w:firstLine="480" w:firstLineChars="200"/>
        <w:rPr>
          <w:rFonts w:asciiTheme="minorEastAsia" w:hAnsiTheme="minorEastAsia"/>
          <w:bCs/>
          <w:sz w:val="24"/>
          <w:szCs w:val="24"/>
          <w:shd w:val="clear" w:color="auto" w:fill="FFFFFF"/>
        </w:rPr>
      </w:pPr>
      <w:r>
        <w:rPr>
          <w:rFonts w:hint="eastAsia" w:asciiTheme="minorEastAsia" w:hAnsiTheme="minorEastAsia"/>
          <w:bCs/>
          <w:sz w:val="24"/>
          <w:szCs w:val="24"/>
          <w:shd w:val="clear" w:color="auto" w:fill="FFFFFF"/>
        </w:rPr>
        <w:t>项目名称：</w:t>
      </w:r>
      <w:r>
        <w:rPr>
          <w:rFonts w:hint="eastAsia" w:asciiTheme="minorEastAsia" w:hAnsiTheme="minorEastAsia"/>
          <w:sz w:val="24"/>
          <w:szCs w:val="24"/>
        </w:rPr>
        <w:t>启东市自来水厂有限公司</w:t>
      </w:r>
      <w:r>
        <w:rPr>
          <w:rFonts w:hint="eastAsia" w:asciiTheme="minorEastAsia" w:hAnsiTheme="minorEastAsia"/>
          <w:sz w:val="24"/>
          <w:szCs w:val="24"/>
          <w:lang w:eastAsia="zh-CN"/>
        </w:rPr>
        <w:t>2025-2026</w:t>
      </w:r>
      <w:r>
        <w:rPr>
          <w:rFonts w:hint="eastAsia" w:asciiTheme="minorEastAsia" w:hAnsiTheme="minorEastAsia"/>
          <w:sz w:val="24"/>
          <w:szCs w:val="24"/>
        </w:rPr>
        <w:t>年度收费系统、集抄平台的三级等保测评项目</w:t>
      </w:r>
    </w:p>
    <w:p w14:paraId="79ECE365">
      <w:pPr>
        <w:snapToGrid w:val="0"/>
        <w:spacing w:line="480" w:lineRule="exact"/>
        <w:ind w:left="1759" w:leftChars="266" w:hanging="1200" w:hangingChars="500"/>
        <w:rPr>
          <w:rFonts w:asciiTheme="minorEastAsia" w:hAnsiTheme="minorEastAsia"/>
          <w:bCs/>
          <w:sz w:val="24"/>
          <w:szCs w:val="24"/>
          <w:shd w:val="clear" w:color="auto" w:fill="FFFFFF"/>
        </w:rPr>
      </w:pPr>
      <w:r>
        <w:rPr>
          <w:rFonts w:hint="eastAsia" w:asciiTheme="minorEastAsia" w:hAnsiTheme="minorEastAsia"/>
          <w:bCs/>
          <w:sz w:val="24"/>
          <w:szCs w:val="24"/>
          <w:shd w:val="clear" w:color="auto" w:fill="FFFFFF"/>
        </w:rPr>
        <w:t>项目类型：服务</w:t>
      </w:r>
    </w:p>
    <w:p w14:paraId="1BACC3BA">
      <w:pPr>
        <w:snapToGrid w:val="0"/>
        <w:spacing w:line="480" w:lineRule="exact"/>
        <w:ind w:left="71" w:leftChars="34" w:firstLine="424" w:firstLineChars="177"/>
        <w:rPr>
          <w:rFonts w:asciiTheme="minorEastAsia" w:hAnsiTheme="minorEastAsia"/>
          <w:bCs/>
          <w:sz w:val="24"/>
          <w:szCs w:val="24"/>
          <w:shd w:val="clear" w:color="auto" w:fill="FFFFFF"/>
        </w:rPr>
      </w:pPr>
      <w:r>
        <w:rPr>
          <w:rFonts w:hint="eastAsia" w:asciiTheme="minorEastAsia" w:hAnsiTheme="minorEastAsia"/>
          <w:bCs/>
          <w:sz w:val="24"/>
          <w:szCs w:val="24"/>
          <w:shd w:val="clear" w:color="auto" w:fill="FFFFFF"/>
        </w:rPr>
        <w:t>最高限价：</w:t>
      </w:r>
      <w:r>
        <w:rPr>
          <w:rFonts w:hint="eastAsia" w:asciiTheme="majorEastAsia" w:hAnsiTheme="majorEastAsia" w:eastAsiaTheme="majorEastAsia"/>
          <w:bCs/>
          <w:sz w:val="24"/>
          <w:szCs w:val="24"/>
        </w:rPr>
        <w:t>1</w:t>
      </w:r>
      <w:r>
        <w:rPr>
          <w:rFonts w:hint="eastAsia" w:asciiTheme="majorEastAsia" w:hAnsiTheme="majorEastAsia" w:eastAsiaTheme="majorEastAsia"/>
          <w:bCs/>
          <w:sz w:val="24"/>
          <w:szCs w:val="24"/>
          <w:lang w:val="en-US" w:eastAsia="zh-CN"/>
        </w:rPr>
        <w:t>06000</w:t>
      </w:r>
      <w:r>
        <w:rPr>
          <w:rFonts w:hint="eastAsia" w:asciiTheme="majorEastAsia" w:hAnsiTheme="majorEastAsia" w:eastAsiaTheme="majorEastAsia"/>
          <w:bCs/>
          <w:sz w:val="24"/>
          <w:szCs w:val="24"/>
        </w:rPr>
        <w:t>元，投标报价超过最高限价的为无效报价。</w:t>
      </w:r>
    </w:p>
    <w:p w14:paraId="7638D30C">
      <w:pPr>
        <w:snapToGrid w:val="0"/>
        <w:spacing w:line="480" w:lineRule="exact"/>
        <w:ind w:left="1759" w:leftChars="266" w:hanging="1200" w:hangingChars="500"/>
        <w:rPr>
          <w:rFonts w:asciiTheme="minorEastAsia" w:hAnsiTheme="minorEastAsia"/>
          <w:bCs/>
          <w:sz w:val="24"/>
          <w:szCs w:val="24"/>
          <w:shd w:val="clear" w:color="auto" w:fill="FFFFFF"/>
        </w:rPr>
      </w:pPr>
      <w:r>
        <w:rPr>
          <w:rFonts w:hint="eastAsia" w:asciiTheme="minorEastAsia" w:hAnsiTheme="minorEastAsia"/>
          <w:bCs/>
          <w:sz w:val="24"/>
          <w:szCs w:val="24"/>
          <w:shd w:val="clear" w:color="auto" w:fill="FFFFFF"/>
        </w:rPr>
        <w:t>采购需求：详见谈判文件，请仔细研究。</w:t>
      </w:r>
    </w:p>
    <w:p w14:paraId="1DBCD14B">
      <w:pPr>
        <w:snapToGrid w:val="0"/>
        <w:spacing w:line="480" w:lineRule="exact"/>
        <w:ind w:left="1759" w:leftChars="266" w:hanging="1200" w:hangingChars="500"/>
        <w:rPr>
          <w:rFonts w:asciiTheme="minorEastAsia" w:hAnsiTheme="minorEastAsia"/>
          <w:bCs/>
          <w:sz w:val="24"/>
          <w:szCs w:val="24"/>
          <w:shd w:val="clear" w:color="auto" w:fill="FFFFFF"/>
        </w:rPr>
      </w:pPr>
      <w:r>
        <w:rPr>
          <w:rFonts w:hint="eastAsia" w:asciiTheme="minorEastAsia" w:hAnsiTheme="minorEastAsia"/>
          <w:bCs/>
          <w:sz w:val="24"/>
          <w:szCs w:val="24"/>
          <w:shd w:val="clear" w:color="auto" w:fill="FFFFFF"/>
        </w:rPr>
        <w:t>合同履行期限：详见谈判文件第三部分。</w:t>
      </w:r>
    </w:p>
    <w:p w14:paraId="144C0A2E">
      <w:pPr>
        <w:snapToGrid w:val="0"/>
        <w:spacing w:line="480" w:lineRule="exact"/>
        <w:ind w:left="1759" w:leftChars="266" w:hanging="1200" w:hangingChars="500"/>
        <w:rPr>
          <w:rFonts w:asciiTheme="minorEastAsia" w:hAnsiTheme="minorEastAsia"/>
          <w:bCs/>
          <w:sz w:val="24"/>
          <w:szCs w:val="24"/>
          <w:shd w:val="clear" w:color="auto" w:fill="FFFFFF"/>
        </w:rPr>
      </w:pPr>
      <w:r>
        <w:rPr>
          <w:rFonts w:asciiTheme="minorEastAsia" w:hAnsiTheme="minorEastAsia"/>
          <w:bCs/>
          <w:sz w:val="24"/>
          <w:szCs w:val="24"/>
          <w:shd w:val="clear" w:color="auto" w:fill="FFFFFF"/>
        </w:rPr>
        <w:t>本项目</w:t>
      </w:r>
      <w:r>
        <w:rPr>
          <w:rFonts w:hint="eastAsia" w:asciiTheme="minorEastAsia" w:hAnsiTheme="minorEastAsia"/>
          <w:bCs/>
          <w:sz w:val="24"/>
          <w:szCs w:val="24"/>
          <w:shd w:val="clear" w:color="auto" w:fill="FFFFFF"/>
        </w:rPr>
        <w:t>是否</w:t>
      </w:r>
      <w:r>
        <w:rPr>
          <w:rFonts w:asciiTheme="minorEastAsia" w:hAnsiTheme="minorEastAsia"/>
          <w:bCs/>
          <w:sz w:val="24"/>
          <w:szCs w:val="24"/>
          <w:shd w:val="clear" w:color="auto" w:fill="FFFFFF"/>
        </w:rPr>
        <w:t>接受联合体投标：否。</w:t>
      </w:r>
    </w:p>
    <w:p w14:paraId="5257B5A8">
      <w:pPr>
        <w:snapToGrid w:val="0"/>
        <w:spacing w:line="480" w:lineRule="exact"/>
        <w:ind w:left="1764" w:leftChars="266" w:hanging="1205" w:hangingChars="500"/>
        <w:rPr>
          <w:rFonts w:asciiTheme="minorEastAsia" w:hAnsiTheme="minorEastAsia"/>
          <w:b/>
          <w:sz w:val="24"/>
          <w:szCs w:val="24"/>
          <w:shd w:val="clear" w:color="auto" w:fill="FFFFFF"/>
        </w:rPr>
      </w:pPr>
      <w:r>
        <w:rPr>
          <w:rFonts w:hint="eastAsia" w:asciiTheme="minorEastAsia" w:hAnsiTheme="minorEastAsia"/>
          <w:b/>
          <w:sz w:val="24"/>
          <w:szCs w:val="24"/>
          <w:shd w:val="clear" w:color="auto" w:fill="FFFFFF"/>
        </w:rPr>
        <w:t>二、供应商的资格要求</w:t>
      </w:r>
    </w:p>
    <w:p w14:paraId="1AC5E982">
      <w:pPr>
        <w:widowControl/>
        <w:snapToGrid w:val="0"/>
        <w:spacing w:line="480" w:lineRule="exact"/>
        <w:ind w:firstLine="560"/>
        <w:jc w:val="left"/>
        <w:rPr>
          <w:rFonts w:cs="宋体" w:asciiTheme="minorEastAsia" w:hAnsiTheme="minorEastAsia"/>
          <w:kern w:val="0"/>
          <w:sz w:val="24"/>
          <w:szCs w:val="24"/>
        </w:rPr>
      </w:pPr>
      <w:r>
        <w:rPr>
          <w:rFonts w:hint="eastAsia" w:cs="宋体" w:asciiTheme="minorEastAsia" w:hAnsiTheme="minorEastAsia"/>
          <w:kern w:val="0"/>
          <w:sz w:val="24"/>
          <w:szCs w:val="24"/>
        </w:rPr>
        <w:t>1、符合《中华人民共和国政府采购法》第二十二条规定；</w:t>
      </w:r>
    </w:p>
    <w:p w14:paraId="438D4FAC">
      <w:pPr>
        <w:widowControl/>
        <w:snapToGrid w:val="0"/>
        <w:spacing w:line="480" w:lineRule="exact"/>
        <w:ind w:firstLine="560"/>
        <w:jc w:val="left"/>
        <w:rPr>
          <w:rFonts w:cs="宋体" w:asciiTheme="minorEastAsia" w:hAnsiTheme="minorEastAsia"/>
          <w:kern w:val="0"/>
          <w:sz w:val="24"/>
          <w:szCs w:val="24"/>
        </w:rPr>
      </w:pPr>
      <w:r>
        <w:rPr>
          <w:rFonts w:hint="eastAsia" w:cs="宋体" w:asciiTheme="minorEastAsia" w:hAnsiTheme="minorEastAsia"/>
          <w:kern w:val="0"/>
          <w:sz w:val="24"/>
          <w:szCs w:val="24"/>
        </w:rPr>
        <w:t>2、未被</w:t>
      </w:r>
      <w:r>
        <w:rPr>
          <w:rFonts w:hint="eastAsia" w:asciiTheme="minorEastAsia" w:hAnsiTheme="minorEastAsia"/>
          <w:sz w:val="24"/>
          <w:szCs w:val="24"/>
        </w:rPr>
        <w:t>“信用中国”</w:t>
      </w:r>
      <w:r>
        <w:rPr>
          <w:rFonts w:hint="eastAsia" w:cs="宋体" w:asciiTheme="minorEastAsia" w:hAnsiTheme="minorEastAsia"/>
          <w:kern w:val="0"/>
          <w:sz w:val="24"/>
          <w:szCs w:val="24"/>
        </w:rPr>
        <w:t>网站列入失信被执行人、重大税收违法案件当事人名单、政府采购严重失信行为记录名单；</w:t>
      </w:r>
    </w:p>
    <w:p w14:paraId="667B4C0F">
      <w:pPr>
        <w:widowControl/>
        <w:snapToGrid w:val="0"/>
        <w:spacing w:line="480" w:lineRule="exact"/>
        <w:ind w:firstLine="560"/>
        <w:jc w:val="left"/>
        <w:rPr>
          <w:rFonts w:cs="宋体" w:asciiTheme="minorEastAsia" w:hAnsiTheme="minorEastAsia"/>
          <w:kern w:val="0"/>
          <w:sz w:val="24"/>
          <w:szCs w:val="24"/>
        </w:rPr>
      </w:pPr>
      <w:r>
        <w:rPr>
          <w:rFonts w:hint="eastAsia" w:cs="宋体" w:asciiTheme="minorEastAsia" w:hAnsiTheme="minorEastAsia"/>
          <w:kern w:val="0"/>
          <w:sz w:val="24"/>
          <w:szCs w:val="24"/>
        </w:rPr>
        <w:t>3、对于参加报价的供应商，须具有合法的营业执照；</w:t>
      </w:r>
    </w:p>
    <w:p w14:paraId="0F6BC0A4">
      <w:pPr>
        <w:widowControl/>
        <w:snapToGrid w:val="0"/>
        <w:spacing w:line="480" w:lineRule="exact"/>
        <w:ind w:firstLine="560"/>
        <w:jc w:val="left"/>
        <w:rPr>
          <w:rFonts w:cs="宋体" w:asciiTheme="minorEastAsia" w:hAnsiTheme="minorEastAsia"/>
          <w:kern w:val="0"/>
          <w:sz w:val="24"/>
          <w:szCs w:val="24"/>
        </w:rPr>
      </w:pPr>
      <w:r>
        <w:rPr>
          <w:rFonts w:hint="eastAsia" w:cs="宋体" w:asciiTheme="minorEastAsia" w:hAnsiTheme="minorEastAsia"/>
          <w:kern w:val="0"/>
          <w:sz w:val="24"/>
          <w:szCs w:val="24"/>
        </w:rPr>
        <w:t>4、供应商需具有有效期内的《网络安全等级测评与检测评估机构服务认证证书》；</w:t>
      </w:r>
    </w:p>
    <w:p w14:paraId="58CA8155">
      <w:pPr>
        <w:widowControl/>
        <w:snapToGrid w:val="0"/>
        <w:spacing w:line="480" w:lineRule="exact"/>
        <w:ind w:firstLine="560"/>
        <w:jc w:val="left"/>
        <w:rPr>
          <w:rFonts w:cs="宋体" w:asciiTheme="minorEastAsia" w:hAnsiTheme="minorEastAsia"/>
          <w:kern w:val="0"/>
          <w:sz w:val="24"/>
          <w:szCs w:val="24"/>
        </w:rPr>
      </w:pPr>
      <w:r>
        <w:rPr>
          <w:rFonts w:hint="eastAsia" w:cs="宋体" w:asciiTheme="minorEastAsia" w:hAnsiTheme="minorEastAsia"/>
          <w:kern w:val="0"/>
          <w:sz w:val="24"/>
          <w:szCs w:val="24"/>
        </w:rPr>
        <w:t>5、本项目招标不接受联合体投标。</w:t>
      </w:r>
    </w:p>
    <w:p w14:paraId="681042DE">
      <w:pPr>
        <w:widowControl/>
        <w:snapToGrid w:val="0"/>
        <w:spacing w:line="480" w:lineRule="exact"/>
        <w:ind w:firstLine="560"/>
        <w:jc w:val="left"/>
        <w:rPr>
          <w:rFonts w:cs="宋体" w:asciiTheme="minorEastAsia" w:hAnsiTheme="minorEastAsia"/>
          <w:kern w:val="0"/>
          <w:sz w:val="24"/>
          <w:szCs w:val="24"/>
        </w:rPr>
      </w:pPr>
      <w:r>
        <w:rPr>
          <w:rFonts w:hint="eastAsia" w:cs="宋体" w:asciiTheme="minorEastAsia" w:hAnsiTheme="minorEastAsia"/>
          <w:kern w:val="0"/>
          <w:sz w:val="24"/>
          <w:szCs w:val="24"/>
        </w:rPr>
        <w:t>6、禁止情形：</w:t>
      </w:r>
    </w:p>
    <w:p w14:paraId="5D8DA551">
      <w:pPr>
        <w:widowControl/>
        <w:snapToGrid w:val="0"/>
        <w:spacing w:line="480" w:lineRule="exact"/>
        <w:ind w:firstLine="560"/>
        <w:jc w:val="left"/>
        <w:rPr>
          <w:rFonts w:cs="宋体" w:asciiTheme="minorEastAsia" w:hAnsiTheme="minorEastAsia"/>
          <w:kern w:val="0"/>
          <w:sz w:val="24"/>
          <w:szCs w:val="24"/>
        </w:rPr>
      </w:pPr>
      <w:r>
        <w:rPr>
          <w:rFonts w:hint="eastAsia" w:cs="宋体" w:asciiTheme="minorEastAsia" w:hAnsiTheme="minorEastAsia"/>
          <w:kern w:val="0"/>
          <w:sz w:val="24"/>
          <w:szCs w:val="24"/>
        </w:rPr>
        <w:t>拒绝以下投标人参与投标：</w:t>
      </w:r>
    </w:p>
    <w:p w14:paraId="7E458E3A">
      <w:pPr>
        <w:widowControl/>
        <w:snapToGrid w:val="0"/>
        <w:spacing w:line="480" w:lineRule="exact"/>
        <w:ind w:firstLine="560"/>
        <w:jc w:val="left"/>
        <w:rPr>
          <w:rFonts w:cs="宋体" w:asciiTheme="minorEastAsia" w:hAnsiTheme="minorEastAsia"/>
          <w:kern w:val="0"/>
          <w:sz w:val="24"/>
          <w:szCs w:val="24"/>
        </w:rPr>
      </w:pPr>
      <w:r>
        <w:rPr>
          <w:rFonts w:hint="eastAsia" w:cs="宋体" w:asciiTheme="minorEastAsia" w:hAnsiTheme="minorEastAsia"/>
          <w:kern w:val="0"/>
          <w:sz w:val="24"/>
          <w:szCs w:val="24"/>
        </w:rPr>
        <w:t>①单位负责人为同一人或者存在直接控股、管理关系的不同投标人，不得参加同一合同项下的政府采购活动。</w:t>
      </w:r>
    </w:p>
    <w:p w14:paraId="0D121CAF">
      <w:pPr>
        <w:widowControl/>
        <w:snapToGrid w:val="0"/>
        <w:spacing w:line="480" w:lineRule="exact"/>
        <w:ind w:firstLine="560"/>
        <w:jc w:val="left"/>
        <w:rPr>
          <w:rFonts w:cs="宋体" w:asciiTheme="minorEastAsia" w:hAnsiTheme="minorEastAsia"/>
          <w:kern w:val="0"/>
          <w:sz w:val="24"/>
          <w:szCs w:val="24"/>
        </w:rPr>
      </w:pPr>
      <w:r>
        <w:rPr>
          <w:rFonts w:hint="eastAsia" w:cs="宋体" w:asciiTheme="minorEastAsia" w:hAnsiTheme="minorEastAsia"/>
          <w:kern w:val="0"/>
          <w:sz w:val="24"/>
          <w:szCs w:val="24"/>
        </w:rPr>
        <w:t>②为采购项目提供整体设计、规范编制或者项目管理、监理、检测等服务的投标人，不得再参加本采购项目的其他采购活动。</w:t>
      </w:r>
    </w:p>
    <w:p w14:paraId="64086C23">
      <w:pPr>
        <w:widowControl/>
        <w:snapToGrid w:val="0"/>
        <w:spacing w:line="480" w:lineRule="exact"/>
        <w:ind w:firstLine="560"/>
        <w:jc w:val="left"/>
        <w:rPr>
          <w:rFonts w:cs="宋体" w:asciiTheme="minorEastAsia" w:hAnsiTheme="minorEastAsia"/>
          <w:b/>
          <w:kern w:val="0"/>
          <w:sz w:val="24"/>
          <w:szCs w:val="24"/>
        </w:rPr>
      </w:pPr>
      <w:r>
        <w:rPr>
          <w:rFonts w:hint="eastAsia" w:cs="宋体" w:asciiTheme="minorEastAsia" w:hAnsiTheme="minorEastAsia"/>
          <w:b/>
          <w:kern w:val="0"/>
          <w:sz w:val="24"/>
          <w:szCs w:val="24"/>
        </w:rPr>
        <w:t>三、获取采购文件</w:t>
      </w:r>
    </w:p>
    <w:p w14:paraId="5DEE563A">
      <w:pPr>
        <w:widowControl/>
        <w:snapToGrid w:val="0"/>
        <w:spacing w:line="480" w:lineRule="exact"/>
        <w:ind w:firstLine="560"/>
        <w:jc w:val="left"/>
        <w:rPr>
          <w:rFonts w:cs="宋体" w:asciiTheme="minorEastAsia" w:hAnsiTheme="minorEastAsia"/>
          <w:kern w:val="0"/>
          <w:sz w:val="24"/>
          <w:szCs w:val="24"/>
        </w:rPr>
      </w:pPr>
      <w:r>
        <w:rPr>
          <w:rFonts w:hint="eastAsia" w:cs="宋体" w:asciiTheme="minorEastAsia" w:hAnsiTheme="minorEastAsia"/>
          <w:kern w:val="0"/>
          <w:sz w:val="24"/>
          <w:szCs w:val="24"/>
        </w:rPr>
        <w:t>时间：202</w:t>
      </w:r>
      <w:r>
        <w:rPr>
          <w:rFonts w:hint="eastAsia" w:cs="宋体" w:asciiTheme="minorEastAsia" w:hAnsiTheme="minorEastAsia"/>
          <w:kern w:val="0"/>
          <w:sz w:val="24"/>
          <w:szCs w:val="24"/>
          <w:lang w:val="en-US" w:eastAsia="zh-CN"/>
        </w:rPr>
        <w:t>5</w:t>
      </w:r>
      <w:r>
        <w:rPr>
          <w:rFonts w:hint="eastAsia" w:cs="宋体" w:asciiTheme="minorEastAsia" w:hAnsiTheme="minorEastAsia"/>
          <w:kern w:val="0"/>
          <w:sz w:val="24"/>
          <w:szCs w:val="24"/>
        </w:rPr>
        <w:t>年8月</w:t>
      </w:r>
      <w:r>
        <w:rPr>
          <w:rFonts w:hint="eastAsia" w:cs="宋体" w:asciiTheme="minorEastAsia" w:hAnsiTheme="minorEastAsia"/>
          <w:kern w:val="0"/>
          <w:sz w:val="24"/>
          <w:szCs w:val="24"/>
          <w:lang w:val="en-US" w:eastAsia="zh-CN"/>
        </w:rPr>
        <w:t>27</w:t>
      </w:r>
      <w:r>
        <w:rPr>
          <w:rFonts w:hint="eastAsia" w:cs="宋体" w:asciiTheme="minorEastAsia" w:hAnsiTheme="minorEastAsia"/>
          <w:kern w:val="0"/>
          <w:sz w:val="24"/>
          <w:szCs w:val="24"/>
        </w:rPr>
        <w:t>日至202</w:t>
      </w:r>
      <w:r>
        <w:rPr>
          <w:rFonts w:hint="eastAsia" w:cs="宋体" w:asciiTheme="minorEastAsia" w:hAnsiTheme="minorEastAsia"/>
          <w:kern w:val="0"/>
          <w:sz w:val="24"/>
          <w:szCs w:val="24"/>
          <w:lang w:val="en-US" w:eastAsia="zh-CN"/>
        </w:rPr>
        <w:t>5</w:t>
      </w:r>
      <w:r>
        <w:rPr>
          <w:rFonts w:hint="eastAsia" w:cs="宋体" w:asciiTheme="minorEastAsia" w:hAnsiTheme="minorEastAsia"/>
          <w:kern w:val="0"/>
          <w:sz w:val="24"/>
          <w:szCs w:val="24"/>
        </w:rPr>
        <w:t>年</w:t>
      </w:r>
      <w:r>
        <w:rPr>
          <w:rFonts w:hint="eastAsia" w:cs="宋体" w:asciiTheme="minorEastAsia" w:hAnsiTheme="minorEastAsia"/>
          <w:kern w:val="0"/>
          <w:sz w:val="24"/>
          <w:szCs w:val="24"/>
          <w:lang w:val="en-US" w:eastAsia="zh-CN"/>
        </w:rPr>
        <w:t>9</w:t>
      </w:r>
      <w:r>
        <w:rPr>
          <w:rFonts w:hint="eastAsia" w:cs="宋体" w:asciiTheme="minorEastAsia" w:hAnsiTheme="minorEastAsia"/>
          <w:kern w:val="0"/>
          <w:sz w:val="24"/>
          <w:szCs w:val="24"/>
        </w:rPr>
        <w:t>月</w:t>
      </w:r>
      <w:r>
        <w:rPr>
          <w:rFonts w:hint="eastAsia" w:cs="宋体" w:asciiTheme="minorEastAsia" w:hAnsiTheme="minorEastAsia"/>
          <w:kern w:val="0"/>
          <w:sz w:val="24"/>
          <w:szCs w:val="24"/>
          <w:lang w:val="en-US" w:eastAsia="zh-CN"/>
        </w:rPr>
        <w:t>2</w:t>
      </w:r>
      <w:r>
        <w:rPr>
          <w:rFonts w:hint="eastAsia" w:cs="宋体" w:asciiTheme="minorEastAsia" w:hAnsiTheme="minorEastAsia"/>
          <w:kern w:val="0"/>
          <w:sz w:val="24"/>
          <w:szCs w:val="24"/>
        </w:rPr>
        <w:t>日</w:t>
      </w:r>
    </w:p>
    <w:p w14:paraId="32441672">
      <w:pPr>
        <w:widowControl/>
        <w:snapToGrid w:val="0"/>
        <w:spacing w:line="480" w:lineRule="exact"/>
        <w:ind w:firstLine="560"/>
        <w:jc w:val="left"/>
        <w:rPr>
          <w:rFonts w:cs="宋体" w:asciiTheme="minorEastAsia" w:hAnsiTheme="minorEastAsia"/>
          <w:kern w:val="0"/>
          <w:sz w:val="24"/>
          <w:szCs w:val="24"/>
        </w:rPr>
      </w:pPr>
      <w:r>
        <w:rPr>
          <w:rFonts w:hint="eastAsia" w:cs="宋体" w:asciiTheme="minorEastAsia" w:hAnsiTheme="minorEastAsia"/>
          <w:kern w:val="0"/>
          <w:sz w:val="24"/>
          <w:szCs w:val="24"/>
        </w:rPr>
        <w:t>地点：启东市自来水厂有限公司网站</w:t>
      </w:r>
    </w:p>
    <w:p w14:paraId="551858A2">
      <w:pPr>
        <w:widowControl/>
        <w:snapToGrid w:val="0"/>
        <w:spacing w:line="480" w:lineRule="exact"/>
        <w:ind w:firstLine="560"/>
        <w:jc w:val="left"/>
        <w:rPr>
          <w:rFonts w:cs="宋体" w:asciiTheme="minorEastAsia" w:hAnsiTheme="minorEastAsia"/>
          <w:kern w:val="0"/>
          <w:sz w:val="24"/>
          <w:szCs w:val="24"/>
        </w:rPr>
      </w:pPr>
      <w:r>
        <w:rPr>
          <w:rFonts w:hint="eastAsia" w:cs="宋体" w:asciiTheme="minorEastAsia" w:hAnsiTheme="minorEastAsia"/>
          <w:kern w:val="0"/>
          <w:sz w:val="24"/>
          <w:szCs w:val="24"/>
        </w:rPr>
        <w:t>方式：凡有意参与谈判的供应商须自行从启东市自来水厂有限公司网站下载。</w:t>
      </w:r>
    </w:p>
    <w:p w14:paraId="0614A41B">
      <w:pPr>
        <w:widowControl/>
        <w:snapToGrid w:val="0"/>
        <w:spacing w:line="480" w:lineRule="exact"/>
        <w:ind w:firstLine="560"/>
        <w:jc w:val="left"/>
        <w:rPr>
          <w:rFonts w:cs="宋体" w:asciiTheme="minorEastAsia" w:hAnsiTheme="minorEastAsia"/>
          <w:b/>
          <w:kern w:val="0"/>
          <w:sz w:val="24"/>
          <w:szCs w:val="24"/>
        </w:rPr>
      </w:pPr>
      <w:r>
        <w:rPr>
          <w:rFonts w:hint="eastAsia" w:cs="宋体" w:asciiTheme="minorEastAsia" w:hAnsiTheme="minorEastAsia"/>
          <w:b/>
          <w:kern w:val="0"/>
          <w:sz w:val="24"/>
          <w:szCs w:val="24"/>
        </w:rPr>
        <w:t>四、递交响应文件截止时间、开标（谈判）时间和地点：</w:t>
      </w:r>
    </w:p>
    <w:p w14:paraId="078C6EEC">
      <w:pPr>
        <w:widowControl/>
        <w:snapToGrid w:val="0"/>
        <w:spacing w:line="48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  递交时间：202</w:t>
      </w:r>
      <w:r>
        <w:rPr>
          <w:rFonts w:hint="eastAsia" w:cs="宋体" w:asciiTheme="minorEastAsia" w:hAnsiTheme="minorEastAsia"/>
          <w:kern w:val="0"/>
          <w:sz w:val="24"/>
          <w:szCs w:val="24"/>
          <w:lang w:val="en-US" w:eastAsia="zh-CN"/>
        </w:rPr>
        <w:t>5</w:t>
      </w:r>
      <w:r>
        <w:rPr>
          <w:rFonts w:hint="eastAsia" w:cs="宋体" w:asciiTheme="minorEastAsia" w:hAnsiTheme="minorEastAsia"/>
          <w:kern w:val="0"/>
          <w:sz w:val="24"/>
          <w:szCs w:val="24"/>
        </w:rPr>
        <w:t>年</w:t>
      </w:r>
      <w:r>
        <w:rPr>
          <w:rFonts w:hint="eastAsia" w:cs="宋体" w:asciiTheme="minorEastAsia" w:hAnsiTheme="minorEastAsia"/>
          <w:kern w:val="0"/>
          <w:sz w:val="24"/>
          <w:szCs w:val="24"/>
          <w:lang w:val="en-US" w:eastAsia="zh-CN"/>
        </w:rPr>
        <w:t>9</w:t>
      </w:r>
      <w:r>
        <w:rPr>
          <w:rFonts w:hint="eastAsia" w:cs="宋体" w:asciiTheme="minorEastAsia" w:hAnsiTheme="minorEastAsia"/>
          <w:kern w:val="0"/>
          <w:sz w:val="24"/>
          <w:szCs w:val="24"/>
        </w:rPr>
        <w:t>月</w:t>
      </w:r>
      <w:r>
        <w:rPr>
          <w:rFonts w:hint="eastAsia" w:cs="宋体" w:asciiTheme="minorEastAsia" w:hAnsiTheme="minorEastAsia"/>
          <w:kern w:val="0"/>
          <w:sz w:val="24"/>
          <w:szCs w:val="24"/>
          <w:lang w:val="en-US" w:eastAsia="zh-CN"/>
        </w:rPr>
        <w:t>2</w:t>
      </w:r>
      <w:r>
        <w:rPr>
          <w:rFonts w:hint="eastAsia" w:cs="宋体" w:asciiTheme="minorEastAsia" w:hAnsiTheme="minorEastAsia"/>
          <w:kern w:val="0"/>
          <w:sz w:val="24"/>
          <w:szCs w:val="24"/>
        </w:rPr>
        <w:t>日上午08:30--09:00（北京时间）</w:t>
      </w:r>
    </w:p>
    <w:p w14:paraId="7FA1B8B8">
      <w:pPr>
        <w:widowControl/>
        <w:snapToGrid w:val="0"/>
        <w:spacing w:line="4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截止时间：202</w:t>
      </w:r>
      <w:r>
        <w:rPr>
          <w:rFonts w:hint="eastAsia" w:cs="宋体" w:asciiTheme="minorEastAsia" w:hAnsiTheme="minorEastAsia"/>
          <w:kern w:val="0"/>
          <w:sz w:val="24"/>
          <w:szCs w:val="24"/>
          <w:lang w:val="en-US" w:eastAsia="zh-CN"/>
        </w:rPr>
        <w:t>5</w:t>
      </w:r>
      <w:r>
        <w:rPr>
          <w:rFonts w:hint="eastAsia" w:cs="宋体" w:asciiTheme="minorEastAsia" w:hAnsiTheme="minorEastAsia"/>
          <w:kern w:val="0"/>
          <w:sz w:val="24"/>
          <w:szCs w:val="24"/>
        </w:rPr>
        <w:t>年</w:t>
      </w:r>
      <w:r>
        <w:rPr>
          <w:rFonts w:hint="eastAsia" w:cs="宋体" w:asciiTheme="minorEastAsia" w:hAnsiTheme="minorEastAsia"/>
          <w:kern w:val="0"/>
          <w:sz w:val="24"/>
          <w:szCs w:val="24"/>
          <w:lang w:val="en-US" w:eastAsia="zh-CN"/>
        </w:rPr>
        <w:t>9</w:t>
      </w:r>
      <w:r>
        <w:rPr>
          <w:rFonts w:hint="eastAsia" w:cs="宋体" w:asciiTheme="minorEastAsia" w:hAnsiTheme="minorEastAsia"/>
          <w:kern w:val="0"/>
          <w:sz w:val="24"/>
          <w:szCs w:val="24"/>
        </w:rPr>
        <w:t>月</w:t>
      </w:r>
      <w:r>
        <w:rPr>
          <w:rFonts w:hint="eastAsia" w:cs="宋体" w:asciiTheme="minorEastAsia" w:hAnsiTheme="minorEastAsia"/>
          <w:kern w:val="0"/>
          <w:sz w:val="24"/>
          <w:szCs w:val="24"/>
          <w:lang w:val="en-US" w:eastAsia="zh-CN"/>
        </w:rPr>
        <w:t>2</w:t>
      </w:r>
      <w:r>
        <w:rPr>
          <w:rFonts w:hint="eastAsia" w:cs="宋体" w:asciiTheme="minorEastAsia" w:hAnsiTheme="minorEastAsia"/>
          <w:kern w:val="0"/>
          <w:sz w:val="24"/>
          <w:szCs w:val="24"/>
        </w:rPr>
        <w:t>日上午09:00（北京时间）</w:t>
      </w:r>
    </w:p>
    <w:p w14:paraId="116B37FA">
      <w:pPr>
        <w:widowControl/>
        <w:snapToGrid w:val="0"/>
        <w:spacing w:line="4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开标（谈判）时间：202</w:t>
      </w:r>
      <w:r>
        <w:rPr>
          <w:rFonts w:hint="eastAsia" w:cs="宋体" w:asciiTheme="minorEastAsia" w:hAnsiTheme="minorEastAsia"/>
          <w:kern w:val="0"/>
          <w:sz w:val="24"/>
          <w:szCs w:val="24"/>
          <w:lang w:val="en-US" w:eastAsia="zh-CN"/>
        </w:rPr>
        <w:t>5</w:t>
      </w:r>
      <w:r>
        <w:rPr>
          <w:rFonts w:hint="eastAsia" w:cs="宋体" w:asciiTheme="minorEastAsia" w:hAnsiTheme="minorEastAsia"/>
          <w:kern w:val="0"/>
          <w:sz w:val="24"/>
          <w:szCs w:val="24"/>
        </w:rPr>
        <w:t>年</w:t>
      </w:r>
      <w:r>
        <w:rPr>
          <w:rFonts w:hint="eastAsia" w:cs="宋体" w:asciiTheme="minorEastAsia" w:hAnsiTheme="minorEastAsia"/>
          <w:kern w:val="0"/>
          <w:sz w:val="24"/>
          <w:szCs w:val="24"/>
          <w:lang w:val="en-US" w:eastAsia="zh-CN"/>
        </w:rPr>
        <w:t>9</w:t>
      </w:r>
      <w:r>
        <w:rPr>
          <w:rFonts w:hint="eastAsia" w:cs="宋体" w:asciiTheme="minorEastAsia" w:hAnsiTheme="minorEastAsia"/>
          <w:kern w:val="0"/>
          <w:sz w:val="24"/>
          <w:szCs w:val="24"/>
        </w:rPr>
        <w:t>月</w:t>
      </w:r>
      <w:r>
        <w:rPr>
          <w:rFonts w:hint="eastAsia" w:cs="宋体" w:asciiTheme="minorEastAsia" w:hAnsiTheme="minorEastAsia"/>
          <w:kern w:val="0"/>
          <w:sz w:val="24"/>
          <w:szCs w:val="24"/>
          <w:lang w:val="en-US" w:eastAsia="zh-CN"/>
        </w:rPr>
        <w:t>2</w:t>
      </w:r>
      <w:r>
        <w:rPr>
          <w:rFonts w:hint="eastAsia" w:cs="宋体" w:asciiTheme="minorEastAsia" w:hAnsiTheme="minorEastAsia"/>
          <w:kern w:val="0"/>
          <w:sz w:val="24"/>
          <w:szCs w:val="24"/>
        </w:rPr>
        <w:t>日上午09:00（北京时间）</w:t>
      </w:r>
    </w:p>
    <w:p w14:paraId="22D3DC32">
      <w:pPr>
        <w:snapToGrid w:val="0"/>
        <w:spacing w:line="480" w:lineRule="exact"/>
        <w:ind w:firstLine="480" w:firstLineChars="200"/>
        <w:rPr>
          <w:rFonts w:cs="宋体" w:asciiTheme="minorEastAsia" w:hAnsiTheme="minorEastAsia"/>
          <w:kern w:val="0"/>
          <w:sz w:val="24"/>
          <w:szCs w:val="24"/>
        </w:rPr>
      </w:pPr>
      <w:r>
        <w:rPr>
          <w:rFonts w:hint="eastAsia" w:cs="宋体" w:asciiTheme="minorEastAsia" w:hAnsiTheme="minorEastAsia"/>
          <w:kern w:val="0"/>
          <w:sz w:val="24"/>
          <w:szCs w:val="24"/>
        </w:rPr>
        <w:t>开标（谈判）地点：启东城投集团有限公司(启东市汇龙镇金沙江路672号)二楼开标室。</w:t>
      </w:r>
    </w:p>
    <w:p w14:paraId="6B4CEA7D">
      <w:pPr>
        <w:snapToGrid w:val="0"/>
        <w:spacing w:line="480" w:lineRule="exact"/>
        <w:ind w:firstLine="482" w:firstLineChars="200"/>
        <w:rPr>
          <w:rFonts w:asciiTheme="minorEastAsia" w:hAnsiTheme="minorEastAsia"/>
          <w:b/>
          <w:sz w:val="24"/>
          <w:szCs w:val="24"/>
          <w:shd w:val="clear" w:color="auto" w:fill="FFFFFF"/>
        </w:rPr>
      </w:pPr>
      <w:r>
        <w:rPr>
          <w:rFonts w:hint="eastAsia" w:asciiTheme="minorEastAsia" w:hAnsiTheme="minorEastAsia"/>
          <w:b/>
          <w:sz w:val="24"/>
          <w:szCs w:val="24"/>
          <w:shd w:val="clear" w:color="auto" w:fill="FFFFFF"/>
        </w:rPr>
        <w:t>五、公告期限</w:t>
      </w:r>
    </w:p>
    <w:p w14:paraId="68DB2A2E">
      <w:pPr>
        <w:snapToGrid w:val="0"/>
        <w:spacing w:line="480" w:lineRule="exact"/>
        <w:ind w:firstLine="480" w:firstLineChars="200"/>
        <w:rPr>
          <w:rFonts w:asciiTheme="minorEastAsia" w:hAnsiTheme="minorEastAsia"/>
          <w:sz w:val="24"/>
          <w:szCs w:val="24"/>
          <w:shd w:val="clear" w:color="auto" w:fill="FFFFFF"/>
        </w:rPr>
      </w:pPr>
      <w:r>
        <w:rPr>
          <w:rFonts w:hint="eastAsia" w:asciiTheme="minorEastAsia" w:hAnsiTheme="minorEastAsia"/>
          <w:sz w:val="24"/>
          <w:szCs w:val="24"/>
          <w:shd w:val="clear" w:color="auto" w:fill="FFFFFF"/>
        </w:rPr>
        <w:t>自本公告发布之日起3个工作日。</w:t>
      </w:r>
    </w:p>
    <w:p w14:paraId="726DD9DC">
      <w:pPr>
        <w:snapToGrid w:val="0"/>
        <w:spacing w:line="480" w:lineRule="exact"/>
        <w:ind w:firstLine="482" w:firstLineChars="200"/>
        <w:rPr>
          <w:rFonts w:asciiTheme="minorEastAsia" w:hAnsiTheme="minorEastAsia"/>
          <w:b/>
          <w:sz w:val="24"/>
          <w:szCs w:val="24"/>
          <w:shd w:val="clear" w:color="auto" w:fill="FFFFFF"/>
        </w:rPr>
      </w:pPr>
      <w:r>
        <w:rPr>
          <w:rFonts w:hint="eastAsia" w:asciiTheme="minorEastAsia" w:hAnsiTheme="minorEastAsia"/>
          <w:b/>
          <w:sz w:val="24"/>
          <w:szCs w:val="24"/>
          <w:shd w:val="clear" w:color="auto" w:fill="FFFFFF"/>
        </w:rPr>
        <w:t>六、其他补充事宜</w:t>
      </w:r>
    </w:p>
    <w:p w14:paraId="3390C1D1">
      <w:pPr>
        <w:snapToGrid w:val="0"/>
        <w:spacing w:line="480" w:lineRule="exact"/>
        <w:ind w:firstLine="480" w:firstLineChars="200"/>
        <w:rPr>
          <w:rFonts w:asciiTheme="minorEastAsia" w:hAnsiTheme="minorEastAsia"/>
          <w:sz w:val="24"/>
          <w:szCs w:val="24"/>
          <w:shd w:val="clear" w:color="auto" w:fill="FFFFFF"/>
        </w:rPr>
      </w:pPr>
      <w:r>
        <w:rPr>
          <w:rFonts w:hint="eastAsia" w:asciiTheme="minorEastAsia" w:hAnsiTheme="minorEastAsia"/>
          <w:sz w:val="24"/>
          <w:szCs w:val="24"/>
          <w:shd w:val="clear" w:color="auto" w:fill="FFFFFF"/>
        </w:rPr>
        <w:t>1.投标保证金：免收</w:t>
      </w:r>
    </w:p>
    <w:p w14:paraId="504C84ED">
      <w:pPr>
        <w:snapToGrid w:val="0"/>
        <w:spacing w:line="480" w:lineRule="exact"/>
        <w:ind w:firstLine="480" w:firstLineChars="200"/>
        <w:rPr>
          <w:rFonts w:asciiTheme="minorEastAsia" w:hAnsiTheme="minorEastAsia"/>
          <w:sz w:val="24"/>
          <w:szCs w:val="24"/>
          <w:shd w:val="clear" w:color="auto" w:fill="FFFFFF"/>
        </w:rPr>
      </w:pPr>
      <w:r>
        <w:rPr>
          <w:rFonts w:hint="eastAsia" w:asciiTheme="minorEastAsia" w:hAnsiTheme="minorEastAsia"/>
          <w:sz w:val="24"/>
          <w:szCs w:val="24"/>
          <w:shd w:val="clear" w:color="auto" w:fill="FFFFFF"/>
        </w:rPr>
        <w:t>2.对谈判文件的询问、质疑请以书面形式向采购人提出。</w:t>
      </w:r>
    </w:p>
    <w:p w14:paraId="57ED6580">
      <w:pPr>
        <w:snapToGrid w:val="0"/>
        <w:spacing w:line="480" w:lineRule="exact"/>
        <w:ind w:firstLine="482" w:firstLineChars="200"/>
        <w:rPr>
          <w:rFonts w:asciiTheme="minorEastAsia" w:hAnsiTheme="minorEastAsia"/>
          <w:b/>
          <w:sz w:val="24"/>
          <w:szCs w:val="24"/>
          <w:shd w:val="clear" w:color="auto" w:fill="FFFFFF"/>
        </w:rPr>
      </w:pPr>
      <w:r>
        <w:rPr>
          <w:rFonts w:hint="eastAsia" w:asciiTheme="minorEastAsia" w:hAnsiTheme="minorEastAsia"/>
          <w:b/>
          <w:sz w:val="24"/>
          <w:szCs w:val="24"/>
          <w:shd w:val="clear" w:color="auto" w:fill="FFFFFF"/>
        </w:rPr>
        <w:t>七、凡对本次采购提出询问，请按以下方式联系</w:t>
      </w:r>
    </w:p>
    <w:p w14:paraId="1373CF4B">
      <w:pPr>
        <w:snapToGrid w:val="0"/>
        <w:spacing w:line="480" w:lineRule="exact"/>
        <w:ind w:firstLine="482" w:firstLineChars="200"/>
        <w:rPr>
          <w:rFonts w:asciiTheme="minorEastAsia" w:hAnsiTheme="minorEastAsia"/>
          <w:b/>
          <w:sz w:val="24"/>
          <w:szCs w:val="24"/>
          <w:shd w:val="clear" w:color="auto" w:fill="FFFFFF"/>
        </w:rPr>
      </w:pPr>
      <w:r>
        <w:rPr>
          <w:rFonts w:hint="eastAsia" w:asciiTheme="minorEastAsia" w:hAnsiTheme="minorEastAsia"/>
          <w:b/>
          <w:sz w:val="24"/>
          <w:szCs w:val="24"/>
          <w:shd w:val="clear" w:color="auto" w:fill="FFFFFF"/>
        </w:rPr>
        <w:t>1.采购人信息：</w:t>
      </w:r>
    </w:p>
    <w:p w14:paraId="3E2B2E5F">
      <w:pPr>
        <w:snapToGrid w:val="0"/>
        <w:spacing w:line="480" w:lineRule="exact"/>
        <w:ind w:firstLine="480" w:firstLineChars="200"/>
        <w:rPr>
          <w:rFonts w:asciiTheme="minorEastAsia" w:hAnsiTheme="minorEastAsia"/>
          <w:sz w:val="24"/>
          <w:szCs w:val="24"/>
          <w:shd w:val="clear" w:color="auto" w:fill="FFFFFF"/>
        </w:rPr>
      </w:pPr>
      <w:r>
        <w:rPr>
          <w:rFonts w:hint="eastAsia" w:asciiTheme="minorEastAsia" w:hAnsiTheme="minorEastAsia"/>
          <w:sz w:val="24"/>
          <w:szCs w:val="24"/>
          <w:shd w:val="clear" w:color="auto" w:fill="FFFFFF"/>
        </w:rPr>
        <w:t>名称：启东市自来水厂有限公司</w:t>
      </w:r>
    </w:p>
    <w:p w14:paraId="6D34A10B">
      <w:pPr>
        <w:snapToGrid w:val="0"/>
        <w:spacing w:line="480" w:lineRule="exact"/>
        <w:ind w:firstLine="480" w:firstLineChars="200"/>
        <w:rPr>
          <w:rFonts w:asciiTheme="minorEastAsia" w:hAnsiTheme="minorEastAsia"/>
          <w:sz w:val="24"/>
          <w:szCs w:val="24"/>
          <w:shd w:val="clear" w:color="auto" w:fill="FFFFFF"/>
        </w:rPr>
      </w:pPr>
      <w:r>
        <w:rPr>
          <w:rFonts w:hint="eastAsia" w:asciiTheme="minorEastAsia" w:hAnsiTheme="minorEastAsia"/>
          <w:sz w:val="24"/>
          <w:szCs w:val="24"/>
          <w:shd w:val="clear" w:color="auto" w:fill="FFFFFF"/>
        </w:rPr>
        <w:t>地址：</w:t>
      </w:r>
      <w:r>
        <w:rPr>
          <w:rFonts w:hint="eastAsia" w:cs="宋体" w:asciiTheme="majorEastAsia" w:hAnsiTheme="majorEastAsia" w:eastAsiaTheme="majorEastAsia"/>
          <w:kern w:val="0"/>
          <w:sz w:val="24"/>
          <w:szCs w:val="24"/>
        </w:rPr>
        <w:t>启东市公园中路802号</w:t>
      </w:r>
    </w:p>
    <w:p w14:paraId="6F4A53F7">
      <w:pPr>
        <w:snapToGrid w:val="0"/>
        <w:spacing w:line="480" w:lineRule="exact"/>
        <w:ind w:firstLine="480" w:firstLineChars="200"/>
        <w:rPr>
          <w:rFonts w:asciiTheme="minorEastAsia" w:hAnsiTheme="minorEastAsia"/>
          <w:sz w:val="24"/>
          <w:szCs w:val="24"/>
          <w:shd w:val="clear" w:color="auto" w:fill="FFFFFF"/>
        </w:rPr>
      </w:pPr>
      <w:r>
        <w:rPr>
          <w:rFonts w:hint="eastAsia" w:asciiTheme="minorEastAsia" w:hAnsiTheme="minorEastAsia"/>
          <w:sz w:val="24"/>
          <w:szCs w:val="24"/>
          <w:shd w:val="clear" w:color="auto" w:fill="FFFFFF"/>
        </w:rPr>
        <w:t xml:space="preserve">联系人：高明君 </w:t>
      </w:r>
    </w:p>
    <w:p w14:paraId="774EA12E">
      <w:pPr>
        <w:snapToGrid w:val="0"/>
        <w:spacing w:line="480" w:lineRule="exact"/>
        <w:ind w:firstLine="480" w:firstLineChars="200"/>
        <w:rPr>
          <w:rFonts w:cs="宋体" w:asciiTheme="minorEastAsia" w:hAnsiTheme="minorEastAsia"/>
          <w:kern w:val="0"/>
          <w:sz w:val="24"/>
          <w:szCs w:val="24"/>
        </w:rPr>
      </w:pPr>
      <w:r>
        <w:rPr>
          <w:rFonts w:hint="eastAsia" w:asciiTheme="minorEastAsia" w:hAnsiTheme="minorEastAsia"/>
          <w:sz w:val="24"/>
          <w:szCs w:val="24"/>
          <w:shd w:val="clear" w:color="auto" w:fill="FFFFFF"/>
        </w:rPr>
        <w:t>联系电话：</w:t>
      </w:r>
      <w:r>
        <w:rPr>
          <w:rFonts w:asciiTheme="minorEastAsia" w:hAnsiTheme="minorEastAsia"/>
          <w:sz w:val="24"/>
          <w:szCs w:val="24"/>
          <w:shd w:val="clear" w:color="auto" w:fill="FFFFFF"/>
        </w:rPr>
        <w:t>0513-83109995</w:t>
      </w:r>
    </w:p>
    <w:p w14:paraId="35351748">
      <w:pPr>
        <w:pStyle w:val="2"/>
      </w:pPr>
    </w:p>
    <w:p w14:paraId="7D187266">
      <w:pPr>
        <w:snapToGrid w:val="0"/>
        <w:spacing w:line="500" w:lineRule="exact"/>
        <w:jc w:val="left"/>
        <w:rPr>
          <w:rFonts w:hint="eastAsia" w:cs="仿宋" w:asciiTheme="minorEastAsia" w:hAnsiTheme="minorEastAsia"/>
          <w:b/>
          <w:sz w:val="28"/>
          <w:szCs w:val="28"/>
        </w:rPr>
      </w:pPr>
    </w:p>
    <w:p w14:paraId="32D14237">
      <w:pPr>
        <w:snapToGrid w:val="0"/>
        <w:spacing w:line="500" w:lineRule="exact"/>
        <w:jc w:val="left"/>
        <w:rPr>
          <w:rFonts w:hint="eastAsia" w:cs="仿宋" w:asciiTheme="minorEastAsia" w:hAnsiTheme="minorEastAsia"/>
          <w:b/>
          <w:sz w:val="28"/>
          <w:szCs w:val="28"/>
        </w:rPr>
      </w:pPr>
    </w:p>
    <w:p w14:paraId="4E3B0335">
      <w:pPr>
        <w:snapToGrid w:val="0"/>
        <w:spacing w:line="500" w:lineRule="exact"/>
        <w:jc w:val="left"/>
        <w:rPr>
          <w:rFonts w:hint="eastAsia" w:cs="仿宋" w:asciiTheme="minorEastAsia" w:hAnsiTheme="minorEastAsia"/>
          <w:b/>
          <w:sz w:val="28"/>
          <w:szCs w:val="28"/>
        </w:rPr>
      </w:pPr>
    </w:p>
    <w:p w14:paraId="2C247C8C">
      <w:pPr>
        <w:snapToGrid w:val="0"/>
        <w:spacing w:line="500" w:lineRule="exact"/>
        <w:jc w:val="left"/>
        <w:rPr>
          <w:rFonts w:hint="eastAsia" w:cs="仿宋" w:asciiTheme="minorEastAsia" w:hAnsiTheme="minorEastAsia"/>
          <w:b/>
          <w:sz w:val="28"/>
          <w:szCs w:val="28"/>
        </w:rPr>
      </w:pPr>
    </w:p>
    <w:p w14:paraId="7EF73E9B">
      <w:pPr>
        <w:snapToGrid w:val="0"/>
        <w:spacing w:line="500" w:lineRule="exact"/>
        <w:jc w:val="left"/>
        <w:rPr>
          <w:rFonts w:hint="eastAsia" w:cs="仿宋" w:asciiTheme="minorEastAsia" w:hAnsiTheme="minorEastAsia"/>
          <w:b/>
          <w:sz w:val="28"/>
          <w:szCs w:val="28"/>
        </w:rPr>
      </w:pPr>
    </w:p>
    <w:p w14:paraId="0201CEE1">
      <w:pPr>
        <w:snapToGrid w:val="0"/>
        <w:spacing w:line="500" w:lineRule="exact"/>
        <w:jc w:val="left"/>
        <w:rPr>
          <w:rFonts w:hint="eastAsia" w:cs="仿宋" w:asciiTheme="minorEastAsia" w:hAnsiTheme="minorEastAsia"/>
          <w:b/>
          <w:sz w:val="28"/>
          <w:szCs w:val="28"/>
        </w:rPr>
      </w:pPr>
    </w:p>
    <w:p w14:paraId="0AC046B7">
      <w:pPr>
        <w:snapToGrid w:val="0"/>
        <w:spacing w:line="500" w:lineRule="exact"/>
        <w:jc w:val="left"/>
        <w:rPr>
          <w:rFonts w:cs="仿宋" w:asciiTheme="minorEastAsia" w:hAnsiTheme="minorEastAsia"/>
          <w:b/>
          <w:sz w:val="28"/>
          <w:szCs w:val="28"/>
        </w:rPr>
      </w:pPr>
      <w:r>
        <w:rPr>
          <w:rFonts w:hint="eastAsia" w:cs="仿宋" w:asciiTheme="minorEastAsia" w:hAnsiTheme="minorEastAsia"/>
          <w:b/>
          <w:sz w:val="28"/>
          <w:szCs w:val="28"/>
        </w:rPr>
        <w:t>附件：谈判文件</w:t>
      </w:r>
    </w:p>
    <w:p w14:paraId="3A06B0F8">
      <w:pPr>
        <w:snapToGrid w:val="0"/>
        <w:spacing w:line="500" w:lineRule="exact"/>
        <w:jc w:val="center"/>
        <w:rPr>
          <w:rFonts w:ascii="宋体" w:hAnsi="宋体" w:eastAsia="宋体" w:cs="Times New Roman"/>
          <w:b/>
          <w:sz w:val="28"/>
          <w:szCs w:val="28"/>
        </w:rPr>
      </w:pPr>
    </w:p>
    <w:p w14:paraId="3D7DAA63">
      <w:pPr>
        <w:snapToGrid w:val="0"/>
        <w:spacing w:line="500" w:lineRule="exact"/>
        <w:jc w:val="center"/>
        <w:rPr>
          <w:rFonts w:ascii="宋体" w:hAnsi="宋体" w:eastAsia="宋体" w:cs="Times New Roman"/>
          <w:b/>
          <w:sz w:val="28"/>
          <w:szCs w:val="28"/>
        </w:rPr>
      </w:pPr>
      <w:r>
        <w:rPr>
          <w:rFonts w:hint="eastAsia" w:ascii="宋体" w:hAnsi="宋体" w:eastAsia="宋体" w:cs="Times New Roman"/>
          <w:b/>
          <w:sz w:val="28"/>
          <w:szCs w:val="28"/>
        </w:rPr>
        <w:t>第二部分  谈判须知</w:t>
      </w:r>
    </w:p>
    <w:p w14:paraId="087F1622">
      <w:pPr>
        <w:snapToGrid w:val="0"/>
        <w:spacing w:line="500" w:lineRule="exact"/>
        <w:rPr>
          <w:rFonts w:asciiTheme="minorEastAsia" w:hAnsiTheme="minorEastAsia"/>
          <w:b/>
          <w:sz w:val="24"/>
          <w:szCs w:val="24"/>
        </w:rPr>
      </w:pPr>
      <w:r>
        <w:rPr>
          <w:rFonts w:hint="eastAsia" w:asciiTheme="minorEastAsia" w:hAnsiTheme="minorEastAsia"/>
          <w:b/>
          <w:sz w:val="24"/>
          <w:szCs w:val="24"/>
        </w:rPr>
        <w:t>一、总则</w:t>
      </w:r>
    </w:p>
    <w:p w14:paraId="75D27EF9">
      <w:pPr>
        <w:snapToGrid w:val="0"/>
        <w:spacing w:line="500" w:lineRule="exact"/>
        <w:rPr>
          <w:rFonts w:asciiTheme="minorEastAsia" w:hAnsiTheme="minorEastAsia"/>
          <w:sz w:val="24"/>
          <w:szCs w:val="24"/>
        </w:rPr>
      </w:pPr>
      <w:r>
        <w:rPr>
          <w:rFonts w:hint="eastAsia" w:asciiTheme="minorEastAsia" w:hAnsiTheme="minorEastAsia"/>
          <w:sz w:val="24"/>
          <w:szCs w:val="24"/>
        </w:rPr>
        <w:t>1.采购方式</w:t>
      </w:r>
    </w:p>
    <w:p w14:paraId="7F04D343">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1.1本次采取竞争性谈判方式，本谈判文件仅适用于谈判公告中所述项目。</w:t>
      </w:r>
    </w:p>
    <w:p w14:paraId="51250F5C">
      <w:pPr>
        <w:snapToGrid w:val="0"/>
        <w:spacing w:line="500" w:lineRule="exact"/>
        <w:rPr>
          <w:rFonts w:asciiTheme="minorEastAsia" w:hAnsiTheme="minorEastAsia"/>
          <w:sz w:val="24"/>
          <w:szCs w:val="24"/>
        </w:rPr>
      </w:pPr>
      <w:r>
        <w:rPr>
          <w:rFonts w:hint="eastAsia" w:asciiTheme="minorEastAsia" w:hAnsiTheme="minorEastAsia"/>
          <w:sz w:val="24"/>
          <w:szCs w:val="24"/>
        </w:rPr>
        <w:t>2.合格的谈判供应商</w:t>
      </w:r>
    </w:p>
    <w:p w14:paraId="562243BF">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2.1满足谈判公告中供应商的资格要求的规定。</w:t>
      </w:r>
    </w:p>
    <w:p w14:paraId="66FD1622">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2.2满足本谈判文件实质性条款的规定。</w:t>
      </w:r>
    </w:p>
    <w:p w14:paraId="6DF40CF2">
      <w:pPr>
        <w:snapToGrid w:val="0"/>
        <w:spacing w:line="500" w:lineRule="exact"/>
        <w:rPr>
          <w:rFonts w:asciiTheme="minorEastAsia" w:hAnsiTheme="minorEastAsia"/>
          <w:sz w:val="24"/>
          <w:szCs w:val="24"/>
        </w:rPr>
      </w:pPr>
      <w:r>
        <w:rPr>
          <w:rFonts w:hint="eastAsia" w:asciiTheme="minorEastAsia" w:hAnsiTheme="minorEastAsia"/>
          <w:sz w:val="24"/>
          <w:szCs w:val="24"/>
        </w:rPr>
        <w:t>3.适用法律</w:t>
      </w:r>
    </w:p>
    <w:p w14:paraId="15F5BC39">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3.1本次采购及由此产生的合同受中华人民共和国有关的法律法规制约和保护。</w:t>
      </w:r>
    </w:p>
    <w:p w14:paraId="21734ABD">
      <w:pPr>
        <w:snapToGrid w:val="0"/>
        <w:spacing w:line="500" w:lineRule="exact"/>
        <w:rPr>
          <w:rFonts w:asciiTheme="minorEastAsia" w:hAnsiTheme="minorEastAsia"/>
          <w:sz w:val="24"/>
          <w:szCs w:val="24"/>
        </w:rPr>
      </w:pPr>
      <w:r>
        <w:rPr>
          <w:rFonts w:hint="eastAsia" w:asciiTheme="minorEastAsia" w:hAnsiTheme="minorEastAsia"/>
          <w:sz w:val="24"/>
          <w:szCs w:val="24"/>
        </w:rPr>
        <w:t>4.谈判费用</w:t>
      </w:r>
    </w:p>
    <w:p w14:paraId="1EC23FCB">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4.1参加谈判的供应商应自行承担所有与参加谈判有关的费用，无论谈判过程中的做法和结果如何，采购人、采购代理机构在任何情况下均无义务和责任承担这些费用。</w:t>
      </w:r>
    </w:p>
    <w:p w14:paraId="2C5D7184">
      <w:pPr>
        <w:snapToGrid w:val="0"/>
        <w:spacing w:line="500" w:lineRule="exact"/>
        <w:rPr>
          <w:rFonts w:asciiTheme="minorEastAsia" w:hAnsiTheme="minorEastAsia"/>
          <w:sz w:val="24"/>
          <w:szCs w:val="24"/>
        </w:rPr>
      </w:pPr>
      <w:r>
        <w:rPr>
          <w:rFonts w:hint="eastAsia" w:asciiTheme="minorEastAsia" w:hAnsiTheme="minorEastAsia"/>
          <w:sz w:val="24"/>
          <w:szCs w:val="24"/>
        </w:rPr>
        <w:t>5.谈判文件的约束力</w:t>
      </w:r>
    </w:p>
    <w:p w14:paraId="0258F48A">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5.1供应商一旦参加本项目采购活动，即被认为接受了本谈判文件的规定和约束。</w:t>
      </w:r>
    </w:p>
    <w:p w14:paraId="653D779B">
      <w:pPr>
        <w:snapToGrid w:val="0"/>
        <w:spacing w:line="500" w:lineRule="exact"/>
        <w:rPr>
          <w:rFonts w:asciiTheme="minorEastAsia" w:hAnsiTheme="minorEastAsia"/>
          <w:sz w:val="24"/>
          <w:szCs w:val="24"/>
        </w:rPr>
      </w:pPr>
      <w:r>
        <w:rPr>
          <w:rFonts w:hint="eastAsia" w:asciiTheme="minorEastAsia" w:hAnsiTheme="minorEastAsia"/>
          <w:sz w:val="24"/>
          <w:szCs w:val="24"/>
        </w:rPr>
        <w:t>6.谈判文件的解释</w:t>
      </w:r>
    </w:p>
    <w:p w14:paraId="16674D78">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6.1谈判文件由采购人解释。</w:t>
      </w:r>
    </w:p>
    <w:p w14:paraId="1FF7F8E0">
      <w:pPr>
        <w:snapToGrid w:val="0"/>
        <w:spacing w:line="500" w:lineRule="exact"/>
        <w:ind w:firstLine="482" w:firstLineChars="200"/>
        <w:rPr>
          <w:rFonts w:asciiTheme="minorEastAsia" w:hAnsiTheme="minorEastAsia"/>
          <w:b/>
          <w:sz w:val="24"/>
          <w:szCs w:val="24"/>
        </w:rPr>
      </w:pPr>
      <w:r>
        <w:rPr>
          <w:rFonts w:hint="eastAsia" w:asciiTheme="minorEastAsia" w:hAnsiTheme="minorEastAsia"/>
          <w:b/>
          <w:sz w:val="24"/>
          <w:szCs w:val="24"/>
        </w:rPr>
        <w:t>二、谈判文件</w:t>
      </w:r>
    </w:p>
    <w:p w14:paraId="3B6E47BF">
      <w:pPr>
        <w:snapToGrid w:val="0"/>
        <w:spacing w:line="500" w:lineRule="exact"/>
        <w:rPr>
          <w:rFonts w:asciiTheme="minorEastAsia" w:hAnsiTheme="minorEastAsia"/>
          <w:sz w:val="24"/>
          <w:szCs w:val="24"/>
        </w:rPr>
      </w:pPr>
      <w:r>
        <w:rPr>
          <w:rFonts w:hint="eastAsia" w:asciiTheme="minorEastAsia" w:hAnsiTheme="minorEastAsia"/>
          <w:sz w:val="24"/>
          <w:szCs w:val="24"/>
        </w:rPr>
        <w:t>1.谈判文件构成</w:t>
      </w:r>
    </w:p>
    <w:p w14:paraId="1D69CC69">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1.1谈判文件由以下部分组成：</w:t>
      </w:r>
    </w:p>
    <w:p w14:paraId="7D1DA140">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（1）竞争性谈判公告</w:t>
      </w:r>
    </w:p>
    <w:p w14:paraId="2E800F6E">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（2）谈判须知</w:t>
      </w:r>
    </w:p>
    <w:p w14:paraId="204E611F">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（3）项目需求</w:t>
      </w:r>
    </w:p>
    <w:p w14:paraId="5F6B921F">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（4）评审方法和评审标准</w:t>
      </w:r>
    </w:p>
    <w:p w14:paraId="4EA5E52D">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（5）响应文件组成</w:t>
      </w:r>
    </w:p>
    <w:p w14:paraId="03286960">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（6）附件</w:t>
      </w:r>
    </w:p>
    <w:p w14:paraId="7C5BCD72">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请仔细检查谈判文件是否齐全，如有缺漏请立即与</w:t>
      </w:r>
      <w:r>
        <w:rPr>
          <w:rFonts w:hint="eastAsia" w:asciiTheme="minorEastAsia" w:hAnsiTheme="minorEastAsia"/>
          <w:sz w:val="24"/>
          <w:szCs w:val="24"/>
          <w:lang w:val="en-US" w:eastAsia="zh-CN"/>
        </w:rPr>
        <w:t>采购人</w:t>
      </w:r>
      <w:r>
        <w:rPr>
          <w:rFonts w:hint="eastAsia" w:asciiTheme="minorEastAsia" w:hAnsiTheme="minorEastAsia"/>
          <w:sz w:val="24"/>
          <w:szCs w:val="24"/>
        </w:rPr>
        <w:t>联系解决。</w:t>
      </w:r>
    </w:p>
    <w:p w14:paraId="4CF3886D">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1.2供应商应认真阅读谈判文件中所有的事项、格式、条款和规范等要求。按谈判文件要求和规定编制响应文件，并保证所提供的全部资料的真实性，以使其响应文件对谈判文件作出实质性响应，否则其风险由供应商自行承担。</w:t>
      </w:r>
    </w:p>
    <w:p w14:paraId="12775099">
      <w:pPr>
        <w:snapToGrid w:val="0"/>
        <w:spacing w:line="500" w:lineRule="exact"/>
        <w:rPr>
          <w:rFonts w:asciiTheme="minorEastAsia" w:hAnsiTheme="minorEastAsia"/>
          <w:sz w:val="24"/>
          <w:szCs w:val="24"/>
        </w:rPr>
      </w:pPr>
      <w:r>
        <w:rPr>
          <w:rFonts w:hint="eastAsia" w:asciiTheme="minorEastAsia" w:hAnsiTheme="minorEastAsia"/>
          <w:sz w:val="24"/>
          <w:szCs w:val="24"/>
        </w:rPr>
        <w:t>2.谈判文件的澄清</w:t>
      </w:r>
    </w:p>
    <w:p w14:paraId="57BB55F0">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2.1任何要求对谈判文件进行澄清的供应商，应在提交首次谈判响应文件截止时间二日前以书面形式递交给采购人。采购人有权对发出的谈判文件进行必要的澄清或修改。</w:t>
      </w:r>
    </w:p>
    <w:p w14:paraId="684F3799">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2.2采购人视情组织答疑会</w:t>
      </w:r>
    </w:p>
    <w:p w14:paraId="1A6B21A4">
      <w:pPr>
        <w:snapToGrid w:val="0"/>
        <w:spacing w:line="500" w:lineRule="exact"/>
        <w:rPr>
          <w:rFonts w:asciiTheme="minorEastAsia" w:hAnsiTheme="minorEastAsia"/>
          <w:sz w:val="24"/>
          <w:szCs w:val="24"/>
        </w:rPr>
      </w:pPr>
      <w:r>
        <w:rPr>
          <w:rFonts w:hint="eastAsia" w:asciiTheme="minorEastAsia" w:hAnsiTheme="minorEastAsia"/>
          <w:sz w:val="24"/>
          <w:szCs w:val="24"/>
        </w:rPr>
        <w:t>3.谈判文件的修改</w:t>
      </w:r>
    </w:p>
    <w:p w14:paraId="29BE4A1F">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3.1在谈判响应文件递交截止时间前，采购人可以对谈判文件进行修改。</w:t>
      </w:r>
    </w:p>
    <w:p w14:paraId="6BE52816">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3.2采购人有权按照法定的要求推迟响应文件递交截止日期和谈判日期。</w:t>
      </w:r>
    </w:p>
    <w:p w14:paraId="17BBBD7D">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3.3谈判文件的修改将在启东市自来水有限公司网站公布，补充文件将作为谈判文件的组成部分，并对供应商具有约束力。</w:t>
      </w:r>
    </w:p>
    <w:p w14:paraId="18094285">
      <w:pPr>
        <w:snapToGrid w:val="0"/>
        <w:spacing w:line="500" w:lineRule="exact"/>
        <w:rPr>
          <w:rFonts w:asciiTheme="minorEastAsia" w:hAnsiTheme="minorEastAsia"/>
          <w:b/>
          <w:sz w:val="24"/>
          <w:szCs w:val="24"/>
        </w:rPr>
      </w:pPr>
      <w:r>
        <w:rPr>
          <w:rFonts w:hint="eastAsia" w:asciiTheme="minorEastAsia" w:hAnsiTheme="minorEastAsia"/>
          <w:b/>
          <w:sz w:val="24"/>
          <w:szCs w:val="24"/>
        </w:rPr>
        <w:t>三、响应文件的编制</w:t>
      </w:r>
    </w:p>
    <w:p w14:paraId="2C5ADCCB">
      <w:pPr>
        <w:snapToGrid w:val="0"/>
        <w:spacing w:line="500" w:lineRule="exact"/>
        <w:rPr>
          <w:rFonts w:asciiTheme="minorEastAsia" w:hAnsiTheme="minorEastAsia"/>
          <w:sz w:val="24"/>
          <w:szCs w:val="24"/>
        </w:rPr>
      </w:pPr>
      <w:r>
        <w:rPr>
          <w:rFonts w:hint="eastAsia" w:asciiTheme="minorEastAsia" w:hAnsiTheme="minorEastAsia"/>
          <w:sz w:val="24"/>
          <w:szCs w:val="24"/>
        </w:rPr>
        <w:t>1.响应文件的语言及度量衡单位</w:t>
      </w:r>
    </w:p>
    <w:p w14:paraId="3EA61AB5">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1.1供应商递交的响应文件以及供应商与采购人就有关谈判的所有来往通知、函件和文件均应使用简体中文。</w:t>
      </w:r>
    </w:p>
    <w:p w14:paraId="38C127A1">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1.2除技术性能另有规定外，响应文件所使用的度量衡单位，均须采用国家法定计量单位。</w:t>
      </w:r>
    </w:p>
    <w:p w14:paraId="512EDA99">
      <w:pPr>
        <w:snapToGrid w:val="0"/>
        <w:spacing w:line="500" w:lineRule="exact"/>
        <w:rPr>
          <w:rFonts w:asciiTheme="minorEastAsia" w:hAnsiTheme="minorEastAsia"/>
          <w:sz w:val="24"/>
          <w:szCs w:val="24"/>
        </w:rPr>
      </w:pPr>
      <w:r>
        <w:rPr>
          <w:rFonts w:hint="eastAsia" w:asciiTheme="minorEastAsia" w:hAnsiTheme="minorEastAsia"/>
          <w:sz w:val="24"/>
          <w:szCs w:val="24"/>
        </w:rPr>
        <w:t>2.响应文件构成</w:t>
      </w:r>
    </w:p>
    <w:p w14:paraId="7378EE64">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2.1供应商编写的响应文件应包括资格审查文件、价格标文件。供应商按“第五部分响应文件组成”要求编写响应文件。</w:t>
      </w:r>
    </w:p>
    <w:p w14:paraId="0C61E2B3">
      <w:pPr>
        <w:snapToGrid w:val="0"/>
        <w:spacing w:line="500" w:lineRule="exact"/>
        <w:rPr>
          <w:rFonts w:asciiTheme="minorEastAsia" w:hAnsiTheme="minorEastAsia"/>
          <w:sz w:val="24"/>
          <w:szCs w:val="24"/>
        </w:rPr>
      </w:pPr>
      <w:r>
        <w:rPr>
          <w:rFonts w:hint="eastAsia" w:asciiTheme="minorEastAsia" w:hAnsiTheme="minorEastAsia"/>
          <w:sz w:val="24"/>
          <w:szCs w:val="24"/>
        </w:rPr>
        <w:t>3.谈判响应有效期</w:t>
      </w:r>
    </w:p>
    <w:p w14:paraId="7A554841">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3.1谈判响应有效期为本项目响应文件递交截止时间后60天。谈判响应有效期小于60天将被视为非实质性响应而予以拒绝。</w:t>
      </w:r>
    </w:p>
    <w:p w14:paraId="55EF5E13">
      <w:pPr>
        <w:snapToGrid w:val="0"/>
        <w:spacing w:line="500" w:lineRule="exact"/>
        <w:rPr>
          <w:rFonts w:asciiTheme="minorEastAsia" w:hAnsiTheme="minorEastAsia"/>
          <w:sz w:val="24"/>
          <w:szCs w:val="24"/>
        </w:rPr>
      </w:pPr>
      <w:r>
        <w:rPr>
          <w:rFonts w:hint="eastAsia" w:asciiTheme="minorEastAsia" w:hAnsiTheme="minorEastAsia"/>
          <w:sz w:val="24"/>
          <w:szCs w:val="24"/>
        </w:rPr>
        <w:t>4.谈判响应有效期的延长</w:t>
      </w:r>
    </w:p>
    <w:p w14:paraId="7E93ABDE">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4.1在特殊情况下，采购人于原谈判响应有效期满之前，可向谈判供应商提出延长谈判响应有效期的要求。这种要求与答复均应采用书面形式。供应商可以拒绝采购人的这一要求而放弃谈判响应，同意延长谈判响应有效期的供应商既不能要求也不允许修改其响应文件。受谈判响应有效期约束的所有权利与义务均延长至新的有效期。</w:t>
      </w:r>
    </w:p>
    <w:p w14:paraId="1EA4C5B7">
      <w:pPr>
        <w:snapToGrid w:val="0"/>
        <w:spacing w:line="500" w:lineRule="exact"/>
        <w:rPr>
          <w:rFonts w:asciiTheme="minorEastAsia" w:hAnsiTheme="minorEastAsia"/>
          <w:b/>
          <w:sz w:val="24"/>
          <w:szCs w:val="24"/>
        </w:rPr>
      </w:pPr>
      <w:r>
        <w:rPr>
          <w:rFonts w:hint="eastAsia" w:asciiTheme="minorEastAsia" w:hAnsiTheme="minorEastAsia"/>
          <w:b/>
          <w:sz w:val="24"/>
          <w:szCs w:val="24"/>
        </w:rPr>
        <w:t>四、响应文件的递交</w:t>
      </w:r>
    </w:p>
    <w:p w14:paraId="4C1D95A1">
      <w:pPr>
        <w:snapToGrid w:val="0"/>
        <w:spacing w:line="500" w:lineRule="exact"/>
        <w:rPr>
          <w:rFonts w:asciiTheme="minorEastAsia" w:hAnsiTheme="minorEastAsia"/>
          <w:sz w:val="24"/>
          <w:szCs w:val="24"/>
        </w:rPr>
      </w:pPr>
      <w:r>
        <w:rPr>
          <w:rFonts w:hint="eastAsia" w:asciiTheme="minorEastAsia" w:hAnsiTheme="minorEastAsia"/>
          <w:sz w:val="24"/>
          <w:szCs w:val="24"/>
        </w:rPr>
        <w:t>1.响应文件的盖章要求</w:t>
      </w:r>
    </w:p>
    <w:p w14:paraId="407A8FA5">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1.1响应文件必须加盖骑缝章或每页盖章。</w:t>
      </w:r>
    </w:p>
    <w:p w14:paraId="2F2D1E23">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1.2响应文件如有修改、行间内插字和增删，修改处应由供应商加盖供应商的印章。</w:t>
      </w:r>
    </w:p>
    <w:p w14:paraId="3C756387">
      <w:pPr>
        <w:snapToGrid w:val="0"/>
        <w:spacing w:line="500" w:lineRule="exact"/>
        <w:rPr>
          <w:rFonts w:asciiTheme="minorEastAsia" w:hAnsiTheme="minorEastAsia"/>
          <w:sz w:val="24"/>
          <w:szCs w:val="24"/>
        </w:rPr>
      </w:pPr>
      <w:r>
        <w:rPr>
          <w:rFonts w:hint="eastAsia" w:asciiTheme="minorEastAsia" w:hAnsiTheme="minorEastAsia"/>
          <w:sz w:val="24"/>
          <w:szCs w:val="24"/>
        </w:rPr>
        <w:t>2.响应文件的递交</w:t>
      </w:r>
    </w:p>
    <w:p w14:paraId="460203F9">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2.1响应文件必须提供1份正本2份副本。</w:t>
      </w:r>
    </w:p>
    <w:p w14:paraId="294805D8">
      <w:pPr>
        <w:widowControl/>
        <w:spacing w:line="460" w:lineRule="exact"/>
        <w:ind w:firstLine="480" w:firstLineChars="200"/>
        <w:jc w:val="left"/>
        <w:rPr>
          <w:rFonts w:asciiTheme="minorEastAsia" w:hAnsiTheme="minorEastAsia"/>
          <w:sz w:val="24"/>
          <w:szCs w:val="24"/>
        </w:rPr>
      </w:pPr>
      <w:r>
        <w:rPr>
          <w:rFonts w:hint="eastAsia" w:asciiTheme="minorEastAsia" w:hAnsiTheme="minorEastAsia"/>
          <w:sz w:val="24"/>
          <w:szCs w:val="24"/>
        </w:rPr>
        <w:t>2.2响应文件应于竞谈文件中规定的递交竞谈响应文件截止时间前将书面竞谈响应文件送至指定的投标地点。</w:t>
      </w:r>
    </w:p>
    <w:p w14:paraId="204AB17F">
      <w:pPr>
        <w:widowControl/>
        <w:spacing w:line="460" w:lineRule="exact"/>
        <w:ind w:firstLine="560"/>
        <w:jc w:val="left"/>
        <w:rPr>
          <w:rFonts w:asciiTheme="minorEastAsia" w:hAnsiTheme="minorEastAsia"/>
          <w:sz w:val="24"/>
          <w:szCs w:val="24"/>
        </w:rPr>
      </w:pPr>
      <w:r>
        <w:rPr>
          <w:rFonts w:hint="eastAsia" w:asciiTheme="minorEastAsia" w:hAnsiTheme="minorEastAsia"/>
          <w:sz w:val="24"/>
          <w:szCs w:val="24"/>
        </w:rPr>
        <w:t>2.3响应文件均需采用A4纸（图纸等除外）打印并装订成册，不允许使用活页夹、拉杆夹、文件夹、塑料方便式书脊（插入式或穿孔式）装订，并应在谈判响应文件封面的右上角清楚地注明“正本”或“副本”。正本和副本如有不一致之处，以正本为准。</w:t>
      </w:r>
    </w:p>
    <w:p w14:paraId="33C7FBC2">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2.4响应文件分二包密封，一包资格审查文件、一包价格标（每包内含相应文件正副本）。</w:t>
      </w:r>
    </w:p>
    <w:p w14:paraId="4D5ECBDC">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2.5供应商应在响应文件密封袋上标明：采购人名称、项目名称、供应商名称、响应文件名称（如：“资格审查文件”、“价格标”）。</w:t>
      </w:r>
    </w:p>
    <w:p w14:paraId="4878279B">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2.6所有响应文件密封袋的封口处均应加盖供应商印章。</w:t>
      </w:r>
    </w:p>
    <w:p w14:paraId="0326A881">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2.7如果供应商未按上述要求密封及加写标记，将作无效响应文件处理。</w:t>
      </w:r>
    </w:p>
    <w:p w14:paraId="241368A8">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2.8如有要求提供原件核查的材料，供应商应将原件单独整理在一个封袋内，在响应文件递交截止时间前随响应文件一并递交至采购人。</w:t>
      </w:r>
    </w:p>
    <w:p w14:paraId="72568C75">
      <w:pPr>
        <w:snapToGrid w:val="0"/>
        <w:spacing w:line="500" w:lineRule="exact"/>
        <w:rPr>
          <w:rFonts w:asciiTheme="minorEastAsia" w:hAnsiTheme="minorEastAsia"/>
          <w:sz w:val="24"/>
          <w:szCs w:val="24"/>
        </w:rPr>
      </w:pPr>
      <w:r>
        <w:rPr>
          <w:rFonts w:hint="eastAsia" w:asciiTheme="minorEastAsia" w:hAnsiTheme="minorEastAsia"/>
          <w:sz w:val="24"/>
          <w:szCs w:val="24"/>
        </w:rPr>
        <w:t>3.响应文件截止日期</w:t>
      </w:r>
    </w:p>
    <w:p w14:paraId="014DB5D8">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3.1供应商应将响应文件在响应文件递交截止时间前递交至指定地点。供应商应充分考虑各种风险因素，如因供应商原因造成没有在递交截止时间前送达，由供应商自行承担全部责任。</w:t>
      </w:r>
    </w:p>
    <w:p w14:paraId="27ED59CF">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3.2采购人可以按照规定，通过修改响应文件酌情延长响应文件递交截止日期，在此情况下，供应商的所有权利和义务以及供应商受制的截止日期均应以延长后新的截止日期为准。</w:t>
      </w:r>
    </w:p>
    <w:p w14:paraId="3E24390A">
      <w:pPr>
        <w:snapToGrid w:val="0"/>
        <w:spacing w:line="500" w:lineRule="exact"/>
        <w:rPr>
          <w:rFonts w:asciiTheme="minorEastAsia" w:hAnsiTheme="minorEastAsia"/>
          <w:sz w:val="24"/>
          <w:szCs w:val="24"/>
        </w:rPr>
      </w:pPr>
      <w:r>
        <w:rPr>
          <w:rFonts w:hint="eastAsia" w:asciiTheme="minorEastAsia" w:hAnsiTheme="minorEastAsia"/>
          <w:sz w:val="24"/>
          <w:szCs w:val="24"/>
        </w:rPr>
        <w:t>4.响应文件的拒收</w:t>
      </w:r>
    </w:p>
    <w:p w14:paraId="001AE14E">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4.1采购人拒绝接收在其规定的响应文件递交截止时间后送达的任何响应文件。</w:t>
      </w:r>
    </w:p>
    <w:p w14:paraId="4DA31312">
      <w:pPr>
        <w:snapToGrid w:val="0"/>
        <w:spacing w:line="500" w:lineRule="exact"/>
        <w:rPr>
          <w:rFonts w:asciiTheme="minorEastAsia" w:hAnsiTheme="minorEastAsia"/>
          <w:sz w:val="24"/>
          <w:szCs w:val="24"/>
        </w:rPr>
      </w:pPr>
      <w:r>
        <w:rPr>
          <w:rFonts w:hint="eastAsia" w:asciiTheme="minorEastAsia" w:hAnsiTheme="minorEastAsia"/>
          <w:sz w:val="24"/>
          <w:szCs w:val="24"/>
        </w:rPr>
        <w:t>5.响应文件的撤回和修改</w:t>
      </w:r>
    </w:p>
    <w:p w14:paraId="52033408">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5.1响应文件的撤回</w:t>
      </w:r>
    </w:p>
    <w:p w14:paraId="6767EF07">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5.1.1供应商可在响应文件递交截止时间前，撤回其响应文件。</w:t>
      </w:r>
    </w:p>
    <w:p w14:paraId="567EBE7C">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5.1.2供应商撤回响应文件，则认为其不再参与本项目谈判活动。</w:t>
      </w:r>
    </w:p>
    <w:p w14:paraId="448BA849">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5.2响应文件的修改</w:t>
      </w:r>
    </w:p>
    <w:p w14:paraId="374D8A30">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5.2.1供应商可在响应文件递交截止时间前，对其响应文件进行补充、修改，供应商必须将修改响应文件的书面材料并密封后提交给采购人或采购代理机构，同时在封套上标明“修改响应文件”和“开标时启封”字样。采购人或采购代理机构可以予以接收，但不退还响应文件。补充、修改的内容应当按照谈判文件要求签署、盖章、密封后，作为响应文件的组成部分。</w:t>
      </w:r>
    </w:p>
    <w:p w14:paraId="1D4EF48E">
      <w:pPr>
        <w:snapToGrid w:val="0"/>
        <w:spacing w:line="490" w:lineRule="exact"/>
        <w:ind w:firstLine="480" w:firstLineChars="200"/>
        <w:rPr>
          <w:rFonts w:asciiTheme="minorEastAsia" w:hAnsiTheme="minorEastAsia"/>
          <w:sz w:val="24"/>
          <w:szCs w:val="24"/>
        </w:rPr>
      </w:pPr>
      <w:r>
        <w:rPr>
          <w:rFonts w:hint="eastAsia" w:asciiTheme="minorEastAsia" w:hAnsiTheme="minorEastAsia"/>
          <w:sz w:val="24"/>
          <w:szCs w:val="24"/>
        </w:rPr>
        <w:t>5.3在响应文件递交截止时间之后，供应商不得对其响应文件作任何修改。</w:t>
      </w:r>
    </w:p>
    <w:p w14:paraId="48A3A9CD">
      <w:pPr>
        <w:snapToGrid w:val="0"/>
        <w:spacing w:line="490" w:lineRule="exact"/>
        <w:ind w:firstLine="480" w:firstLineChars="200"/>
        <w:rPr>
          <w:rFonts w:asciiTheme="minorEastAsia" w:hAnsiTheme="minorEastAsia"/>
          <w:sz w:val="24"/>
          <w:szCs w:val="24"/>
        </w:rPr>
      </w:pPr>
      <w:r>
        <w:rPr>
          <w:rFonts w:hint="eastAsia" w:asciiTheme="minorEastAsia" w:hAnsiTheme="minorEastAsia"/>
          <w:sz w:val="24"/>
          <w:szCs w:val="24"/>
        </w:rPr>
        <w:t>5.4在响应文件截止时间至响应文件中规定的谈判响应有效期满之间的这段时间内，供应商不得撤回其响应文件。</w:t>
      </w:r>
    </w:p>
    <w:p w14:paraId="4BF7B7BF">
      <w:pPr>
        <w:snapToGrid w:val="0"/>
        <w:spacing w:line="490" w:lineRule="exact"/>
        <w:rPr>
          <w:rFonts w:asciiTheme="minorEastAsia" w:hAnsiTheme="minorEastAsia"/>
          <w:b/>
          <w:sz w:val="24"/>
          <w:szCs w:val="24"/>
        </w:rPr>
      </w:pPr>
      <w:r>
        <w:rPr>
          <w:rFonts w:hint="eastAsia" w:asciiTheme="minorEastAsia" w:hAnsiTheme="minorEastAsia"/>
          <w:b/>
          <w:sz w:val="24"/>
          <w:szCs w:val="24"/>
        </w:rPr>
        <w:t>五、谈判与评审</w:t>
      </w:r>
    </w:p>
    <w:p w14:paraId="01C89E58">
      <w:pPr>
        <w:snapToGrid w:val="0"/>
        <w:spacing w:line="490" w:lineRule="exact"/>
        <w:rPr>
          <w:rFonts w:asciiTheme="minorEastAsia" w:hAnsiTheme="minorEastAsia"/>
          <w:sz w:val="24"/>
          <w:szCs w:val="24"/>
        </w:rPr>
      </w:pPr>
      <w:r>
        <w:rPr>
          <w:rFonts w:hint="eastAsia" w:asciiTheme="minorEastAsia" w:hAnsiTheme="minorEastAsia"/>
          <w:sz w:val="24"/>
          <w:szCs w:val="24"/>
        </w:rPr>
        <w:t>1.谈判仪式</w:t>
      </w:r>
    </w:p>
    <w:p w14:paraId="5E9CA23B">
      <w:pPr>
        <w:snapToGrid w:val="0"/>
        <w:spacing w:line="490" w:lineRule="exact"/>
        <w:ind w:firstLine="480" w:firstLineChars="200"/>
        <w:rPr>
          <w:rFonts w:asciiTheme="minorEastAsia" w:hAnsiTheme="minorEastAsia"/>
          <w:sz w:val="24"/>
          <w:szCs w:val="24"/>
        </w:rPr>
      </w:pPr>
      <w:r>
        <w:rPr>
          <w:rFonts w:hint="eastAsia" w:asciiTheme="minorEastAsia" w:hAnsiTheme="minorEastAsia"/>
          <w:sz w:val="24"/>
          <w:szCs w:val="24"/>
        </w:rPr>
        <w:t>1.1采购人将在谈判公告中规定的时间和地点组织谈判开始仪式。</w:t>
      </w:r>
    </w:p>
    <w:p w14:paraId="24066533">
      <w:pPr>
        <w:snapToGrid w:val="0"/>
        <w:spacing w:line="490" w:lineRule="exact"/>
        <w:ind w:firstLine="480" w:firstLineChars="200"/>
        <w:rPr>
          <w:rFonts w:asciiTheme="minorEastAsia" w:hAnsiTheme="minorEastAsia"/>
          <w:sz w:val="24"/>
          <w:szCs w:val="24"/>
        </w:rPr>
      </w:pPr>
      <w:r>
        <w:rPr>
          <w:rFonts w:hint="eastAsia" w:asciiTheme="minorEastAsia" w:hAnsiTheme="minorEastAsia"/>
          <w:sz w:val="24"/>
          <w:szCs w:val="24"/>
        </w:rPr>
        <w:t>1.2采购人在谈判结束后公布各供应商的最后报价。</w:t>
      </w:r>
    </w:p>
    <w:p w14:paraId="4C6D4989">
      <w:pPr>
        <w:snapToGrid w:val="0"/>
        <w:spacing w:line="490" w:lineRule="exact"/>
        <w:rPr>
          <w:rFonts w:asciiTheme="minorEastAsia" w:hAnsiTheme="minorEastAsia"/>
          <w:sz w:val="24"/>
          <w:szCs w:val="24"/>
        </w:rPr>
      </w:pPr>
      <w:r>
        <w:rPr>
          <w:rFonts w:hint="eastAsia" w:asciiTheme="minorEastAsia" w:hAnsiTheme="minorEastAsia"/>
          <w:sz w:val="24"/>
          <w:szCs w:val="24"/>
        </w:rPr>
        <w:t>2.竞争性谈判小组</w:t>
      </w:r>
    </w:p>
    <w:p w14:paraId="3E740AC0">
      <w:pPr>
        <w:snapToGrid w:val="0"/>
        <w:spacing w:line="490" w:lineRule="exact"/>
        <w:ind w:firstLine="480" w:firstLineChars="200"/>
        <w:rPr>
          <w:rFonts w:asciiTheme="minorEastAsia" w:hAnsiTheme="minorEastAsia"/>
          <w:sz w:val="24"/>
          <w:szCs w:val="24"/>
        </w:rPr>
      </w:pPr>
      <w:r>
        <w:rPr>
          <w:rFonts w:hint="eastAsia" w:asciiTheme="minorEastAsia" w:hAnsiTheme="minorEastAsia"/>
          <w:sz w:val="24"/>
          <w:szCs w:val="24"/>
        </w:rPr>
        <w:t>2.1谈判开始仪式结束后，采购人将立即组织竞争性谈判小组进行评审。</w:t>
      </w:r>
    </w:p>
    <w:p w14:paraId="0D10FCDE">
      <w:pPr>
        <w:snapToGrid w:val="0"/>
        <w:spacing w:line="490" w:lineRule="exact"/>
        <w:ind w:firstLine="480" w:firstLineChars="200"/>
        <w:rPr>
          <w:rFonts w:asciiTheme="minorEastAsia" w:hAnsiTheme="minorEastAsia"/>
          <w:sz w:val="24"/>
          <w:szCs w:val="24"/>
        </w:rPr>
      </w:pPr>
      <w:r>
        <w:rPr>
          <w:rFonts w:hint="eastAsia" w:asciiTheme="minorEastAsia" w:hAnsiTheme="minorEastAsia"/>
          <w:sz w:val="24"/>
          <w:szCs w:val="24"/>
        </w:rPr>
        <w:t>2.2</w:t>
      </w:r>
      <w:r>
        <w:rPr>
          <w:rFonts w:asciiTheme="minorEastAsia" w:hAnsiTheme="minorEastAsia"/>
          <w:sz w:val="24"/>
          <w:szCs w:val="24"/>
        </w:rPr>
        <w:t>竞争性谈判小组由3人以上单数组成</w:t>
      </w:r>
      <w:r>
        <w:rPr>
          <w:rFonts w:hint="eastAsia" w:asciiTheme="minorEastAsia" w:hAnsiTheme="minorEastAsia"/>
          <w:sz w:val="24"/>
          <w:szCs w:val="24"/>
        </w:rPr>
        <w:t>。</w:t>
      </w:r>
    </w:p>
    <w:p w14:paraId="0C0272E7">
      <w:pPr>
        <w:snapToGrid w:val="0"/>
        <w:spacing w:line="490" w:lineRule="exact"/>
        <w:ind w:firstLine="480" w:firstLineChars="200"/>
        <w:rPr>
          <w:rFonts w:asciiTheme="minorEastAsia" w:hAnsiTheme="minorEastAsia"/>
          <w:sz w:val="24"/>
          <w:szCs w:val="24"/>
        </w:rPr>
      </w:pPr>
      <w:r>
        <w:rPr>
          <w:rFonts w:hint="eastAsia" w:asciiTheme="minorEastAsia" w:hAnsiTheme="minorEastAsia"/>
          <w:sz w:val="24"/>
          <w:szCs w:val="24"/>
        </w:rPr>
        <w:t>2.3采购代理机构不得参加本机构代理的采购项目的评审。</w:t>
      </w:r>
    </w:p>
    <w:p w14:paraId="47858AB2">
      <w:pPr>
        <w:snapToGrid w:val="0"/>
        <w:spacing w:line="490" w:lineRule="exact"/>
        <w:ind w:firstLine="480" w:firstLineChars="200"/>
        <w:rPr>
          <w:rFonts w:asciiTheme="minorEastAsia" w:hAnsiTheme="minorEastAsia"/>
          <w:sz w:val="24"/>
          <w:szCs w:val="24"/>
        </w:rPr>
      </w:pPr>
      <w:r>
        <w:rPr>
          <w:rFonts w:hint="eastAsia" w:asciiTheme="minorEastAsia" w:hAnsiTheme="minorEastAsia"/>
          <w:sz w:val="24"/>
          <w:szCs w:val="24"/>
        </w:rPr>
        <w:t>2.4谈判小组独立工作，负责评审所有响应文件并确定成交候选人。</w:t>
      </w:r>
    </w:p>
    <w:p w14:paraId="62AF1783">
      <w:pPr>
        <w:snapToGrid w:val="0"/>
        <w:spacing w:line="490" w:lineRule="exact"/>
        <w:rPr>
          <w:rFonts w:asciiTheme="minorEastAsia" w:hAnsiTheme="minorEastAsia"/>
          <w:sz w:val="24"/>
          <w:szCs w:val="24"/>
        </w:rPr>
      </w:pPr>
      <w:r>
        <w:rPr>
          <w:rFonts w:hint="eastAsia" w:asciiTheme="minorEastAsia" w:hAnsiTheme="minorEastAsia"/>
          <w:sz w:val="24"/>
          <w:szCs w:val="24"/>
        </w:rPr>
        <w:t>3.谈判评审过程的保密与公正</w:t>
      </w:r>
    </w:p>
    <w:p w14:paraId="52933FC6">
      <w:pPr>
        <w:snapToGrid w:val="0"/>
        <w:spacing w:line="490" w:lineRule="exact"/>
        <w:ind w:firstLine="480" w:firstLineChars="200"/>
        <w:rPr>
          <w:rFonts w:asciiTheme="minorEastAsia" w:hAnsiTheme="minorEastAsia"/>
          <w:sz w:val="24"/>
          <w:szCs w:val="24"/>
        </w:rPr>
      </w:pPr>
      <w:r>
        <w:rPr>
          <w:rFonts w:hint="eastAsia" w:asciiTheme="minorEastAsia" w:hAnsiTheme="minorEastAsia"/>
          <w:sz w:val="24"/>
          <w:szCs w:val="24"/>
        </w:rPr>
        <w:t>3.1谈判小组、采购人、相关监督人员等与评审工作有关的人员，对评审情况以及在评审过程中获悉的国家秘密、商业秘密负有保密责任。</w:t>
      </w:r>
    </w:p>
    <w:p w14:paraId="30B33EF3">
      <w:pPr>
        <w:snapToGrid w:val="0"/>
        <w:spacing w:line="490" w:lineRule="exact"/>
        <w:ind w:firstLine="480" w:firstLineChars="200"/>
        <w:rPr>
          <w:rFonts w:asciiTheme="minorEastAsia" w:hAnsiTheme="minorEastAsia"/>
          <w:sz w:val="24"/>
          <w:szCs w:val="24"/>
        </w:rPr>
      </w:pPr>
      <w:r>
        <w:rPr>
          <w:rFonts w:hint="eastAsia" w:asciiTheme="minorEastAsia" w:hAnsiTheme="minorEastAsia"/>
          <w:sz w:val="24"/>
          <w:szCs w:val="24"/>
        </w:rPr>
        <w:t>3.2在谈判评审过程中，谈判供应商不得以任何行为影响谈判评审过程，否则其响应文件将被作为无效响应文件。</w:t>
      </w:r>
    </w:p>
    <w:p w14:paraId="5198B6EF">
      <w:pPr>
        <w:snapToGrid w:val="0"/>
        <w:spacing w:line="490" w:lineRule="exact"/>
        <w:ind w:firstLine="480" w:firstLineChars="200"/>
        <w:rPr>
          <w:rFonts w:asciiTheme="minorEastAsia" w:hAnsiTheme="minorEastAsia"/>
          <w:sz w:val="24"/>
          <w:szCs w:val="24"/>
        </w:rPr>
      </w:pPr>
      <w:r>
        <w:rPr>
          <w:rFonts w:hint="eastAsia" w:asciiTheme="minorEastAsia" w:hAnsiTheme="minorEastAsia"/>
          <w:sz w:val="24"/>
          <w:szCs w:val="24"/>
        </w:rPr>
        <w:t>3.3谈判小组成员应当按照客观、公正、审慎的原则，根据谈判文件规定的评审程序、评审方法和评审标准进行独立评审。未实质性响应谈判文件的响应文件按无效响应处理，谈判小组应当告知提交响应文件的供应商。</w:t>
      </w:r>
    </w:p>
    <w:p w14:paraId="75979320">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3.4评审开始后，直至向成交供应商授予合同时止，凡是与审查、澄清、评价和比较响应的有关资料以及授标建议等，采购人、谈判小组均不得向供应商或与评审无关的其他人员透露。</w:t>
      </w:r>
    </w:p>
    <w:p w14:paraId="62FA1E93">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3.5采购人和评审小组不向未成交的供应商解释未成交原因，也不公布评审过程中的相关细节。</w:t>
      </w:r>
    </w:p>
    <w:p w14:paraId="6D3CB750">
      <w:pPr>
        <w:snapToGrid w:val="0"/>
        <w:spacing w:line="500" w:lineRule="exact"/>
        <w:rPr>
          <w:rFonts w:asciiTheme="minorEastAsia" w:hAnsiTheme="minorEastAsia"/>
          <w:sz w:val="24"/>
          <w:szCs w:val="24"/>
        </w:rPr>
      </w:pPr>
      <w:r>
        <w:rPr>
          <w:rFonts w:hint="eastAsia" w:asciiTheme="minorEastAsia" w:hAnsiTheme="minorEastAsia"/>
          <w:sz w:val="24"/>
          <w:szCs w:val="24"/>
        </w:rPr>
        <w:t>4.评审过程的澄清</w:t>
      </w:r>
    </w:p>
    <w:p w14:paraId="479EA326">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4.1评审期间，为有助于对响应文件的审查、评价和比较，谈判小组有权以书面形式要求响应人对其响应文件进行澄清，但并非对每个供应商都作澄清要求。</w:t>
      </w:r>
    </w:p>
    <w:p w14:paraId="1B3B5D8E">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4.2接到谈判小组澄清要求的供应商应按谈判小组规定的时间和格式做出书面澄清，澄清的内容作为响应文件的补充部分，但实质性的内容不得做任何更改。</w:t>
      </w:r>
    </w:p>
    <w:p w14:paraId="1449817C">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4.3接到谈判小组澄清要求的供应商如未按规定做出澄清，其风险由供应商自行承担。</w:t>
      </w:r>
    </w:p>
    <w:p w14:paraId="6E08CD5C">
      <w:pPr>
        <w:snapToGrid w:val="0"/>
        <w:spacing w:line="500" w:lineRule="exact"/>
        <w:rPr>
          <w:rFonts w:asciiTheme="minorEastAsia" w:hAnsiTheme="minorEastAsia"/>
          <w:sz w:val="24"/>
          <w:szCs w:val="24"/>
        </w:rPr>
      </w:pPr>
      <w:r>
        <w:rPr>
          <w:rFonts w:hint="eastAsia" w:asciiTheme="minorEastAsia" w:hAnsiTheme="minorEastAsia"/>
          <w:sz w:val="24"/>
          <w:szCs w:val="24"/>
        </w:rPr>
        <w:t>5.对响应文件的初审</w:t>
      </w:r>
    </w:p>
    <w:p w14:paraId="4B45E46E">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5.1响应文件初审分为资格性审查和符合性审查。</w:t>
      </w:r>
    </w:p>
    <w:p w14:paraId="51800D15">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5.1.1资格性审查：依据法律法规和谈判文件的规定，谈判小组对响应文件中的资格审查证明材料进行审查，以确定供应商是否具备参加谈判的资格。</w:t>
      </w:r>
    </w:p>
    <w:p w14:paraId="559CD442">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注：在“信用中国”网站有不良信用记录的供应商将被取消参加谈判的资格。接受联合体的项目，两个以上的自然人、法人或者其他组织组成一个联合体，以一个供应商的身份共同参加政府采购活动的,联合体成员中任何一方存在不良信用记录的，视同联合体存在不良应用记录。</w:t>
      </w:r>
    </w:p>
    <w:p w14:paraId="1AA5094C">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5.1.2符合性审查：依据谈判文件的规定，由谈判小组从响应文件的有效性、完整性和对谈判文件的响应程度进行审查，以确定是否对谈判文件的实质性要求作出响应。</w:t>
      </w:r>
    </w:p>
    <w:p w14:paraId="366C3FC5">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5.1.3未通过资格审查或符合性审查的供应商，采购代理机构将现场告知未通过资格审查或符合性审查的原因，评审结束后，采购代理机构将不再告知未通过资格审查或符合性审查的原因。</w:t>
      </w:r>
    </w:p>
    <w:p w14:paraId="3ED60B0E">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5.2在正式谈判前，谈判小组将首先审查每份响应文件是否实质性响应了谈判文件的要求。实质性响应的响应文件应该是与谈判文件要求的全部条款、条件和规格相符，没有重大负偏离或保留。</w:t>
      </w:r>
    </w:p>
    <w:p w14:paraId="6534E3EA">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所谓重大负偏离或保留是指与谈判文件规定的实质性要求存在负偏离，或者在实质上与谈判文件不一致，而且限制了合同中买方和见证方的权利或供应商的义务，纠正这些偏离或保留将会对其他实质性响应要求的供应商的竞争地位产生不公正的影响。重大偏离由谈判小组按照少数服从多数的原则认定。谈判小组决定响应文件的响应性只根据响应文件本身的内容，而不寻求外部的证据。</w:t>
      </w:r>
    </w:p>
    <w:p w14:paraId="35EAEB4A">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5.3如果响应文件实质上没有响应谈判文件的要求，谈判小组将予以拒绝，供应商不得通过修改或撤销不合要求的偏离或保留而使其响应文件成为实质性响应文件。</w:t>
      </w:r>
    </w:p>
    <w:p w14:paraId="1DF979C3">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5.4谈判小组将对确定为实质性响应的文件进行进一步审核，看其是否有计算上或累加上的算术错误，修正错误的原则如下：</w:t>
      </w:r>
    </w:p>
    <w:p w14:paraId="1AD6240A">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（1）响应文件中谈判报价总表内容与响应文件中相应内容不一致的，以谈判报价总表为准。</w:t>
      </w:r>
    </w:p>
    <w:p w14:paraId="15AAD6E9">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（2）大写金额和小写金额不一致的，以大写金额为准。</w:t>
      </w:r>
    </w:p>
    <w:p w14:paraId="391C389B">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（3）单价金额小数点或者百分比有明显错位的，以谈判报价总表的总价为准，并修改单价。</w:t>
      </w:r>
    </w:p>
    <w:p w14:paraId="5CFC3C84">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（4）总价金额与按单价汇总金额不一致的，以单价金额计算结果为准。</w:t>
      </w:r>
    </w:p>
    <w:p w14:paraId="2EBE4CC0">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同时出现两种以上错误的，按照前款规定的顺序修正。</w:t>
      </w:r>
    </w:p>
    <w:p w14:paraId="4D8C23A8">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5.5谈判小组将按上述修正错误的方法调整响应文件中的报价，并现场告知供应商，调整后的价格应对供应商具有约束力。如果供应商不接受修正后的价格，则其谈判活动将被拒绝。</w:t>
      </w:r>
    </w:p>
    <w:p w14:paraId="5C8F348B">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5.6谈判小组将允许修正响应文件中不构成重大偏离的、微小的、非正规的、不一致的或不规则的地方，但这些修改不能影响任何供应商相应的名次排列。</w:t>
      </w:r>
    </w:p>
    <w:p w14:paraId="7454FBB6">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5.7同一项目（项目未分包）或同一分包（项目有不同分包），如出现同一品牌同一型号的产品有多个供应商参加谈判时，谈判中在其他条件合格的前提下，选取报价最低的供应商参加谈判最后报价，其他供应商作为无效响应处理。</w:t>
      </w:r>
    </w:p>
    <w:p w14:paraId="62C9E52F">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5.8提供相同品牌产品的不同供应商参加同一合同项下谈判的，以其中通过资格审查、符合性审查且报价最低的参加谈判；报价相同的，由谈判小组按照随机抽取的方式确定一个参加谈判的供应商，其他供应商作为无效响应处理。</w:t>
      </w:r>
    </w:p>
    <w:p w14:paraId="53E7D365">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非单一产品采购项目，谈判文件中将载明其中的核心产品。多家供应商提供的核心产品品牌相同的，按前款规定处理。</w:t>
      </w:r>
    </w:p>
    <w:p w14:paraId="1BDAAC13">
      <w:pPr>
        <w:snapToGrid w:val="0"/>
        <w:spacing w:line="500" w:lineRule="exact"/>
        <w:rPr>
          <w:rFonts w:asciiTheme="minorEastAsia" w:hAnsiTheme="minorEastAsia"/>
          <w:sz w:val="24"/>
          <w:szCs w:val="24"/>
        </w:rPr>
      </w:pPr>
      <w:r>
        <w:rPr>
          <w:rFonts w:hint="eastAsia" w:asciiTheme="minorEastAsia" w:hAnsiTheme="minorEastAsia"/>
          <w:sz w:val="24"/>
          <w:szCs w:val="24"/>
        </w:rPr>
        <w:t>6.被认定为未实质性响应谈判文件的响应文件的情形</w:t>
      </w:r>
    </w:p>
    <w:p w14:paraId="18E5B60D">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6.1出现下列情形之一的，作无效响应处理。</w:t>
      </w:r>
    </w:p>
    <w:p w14:paraId="6D71799F">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6.1.1响应文件未按照谈判文件的要求进行制作或密封的。</w:t>
      </w:r>
    </w:p>
    <w:p w14:paraId="0E9166A4">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6.1.2响应文件未按规定加盖供应商印章，投标报价部分未盖章的。</w:t>
      </w:r>
    </w:p>
    <w:p w14:paraId="0370DCDE">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6.1.3响应文件的关键内容字迹模糊，无法辨认的。</w:t>
      </w:r>
    </w:p>
    <w:p w14:paraId="181B4EAD">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6.1.4供应商不具备谈判文件中规定的资格要求的。</w:t>
      </w:r>
    </w:p>
    <w:p w14:paraId="196EEF62">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6.1.5响应文件与谈判文件有重大偏离的或未能实质性响应谈判文件要求的。</w:t>
      </w:r>
    </w:p>
    <w:p w14:paraId="35A4AB31">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6.1.6供应商属于投标禁止情形的。</w:t>
      </w:r>
    </w:p>
    <w:p w14:paraId="7782CB73">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6.1.7响应文件除价格标外出现报价的。</w:t>
      </w:r>
    </w:p>
    <w:p w14:paraId="5F2B4B9E">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6.1.8响应报价超过最高限价的。</w:t>
      </w:r>
    </w:p>
    <w:p w14:paraId="1E1CDDEA">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6.1.9同一供应商提交两个（含两个）以上不同的响应报价的。</w:t>
      </w:r>
    </w:p>
    <w:p w14:paraId="37BB340B">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6.1.10未通过符合性检查的。</w:t>
      </w:r>
    </w:p>
    <w:p w14:paraId="18D05F84">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6.1.11不符合法律、法规和谈判文件中规定的其他实质性要求的。</w:t>
      </w:r>
    </w:p>
    <w:p w14:paraId="55BF8CC4">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6.1.12供应商被 “信用中国”网站列入失信被执行人或重大税收违法案件当事人名单或政府采购严重失信行为记录名单。或查询“信用中国”网站后发现供应商存在其他不符合《中华人民共和国政府采购法》第二十二条规定条件的信用记录。</w:t>
      </w:r>
    </w:p>
    <w:p w14:paraId="483D1955">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6.1.13响应文件含有采购人不能接受的附加条件的。</w:t>
      </w:r>
    </w:p>
    <w:p w14:paraId="1B49EEF4">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6.1.14谈判小组认为供应商的报价明显低于其他通过符合性审查供应商的报价，有可能影响产品质量或者不能诚信履约的，将现场要求其在合理的时间内提供说明，必要时提交相关证明材料；供应商不能证明其报价合理性的，谈判小组应当将其作为无效响应处理。</w:t>
      </w:r>
    </w:p>
    <w:p w14:paraId="3742C8F8">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6.1.15其他法律、法规及本谈判文件规定的属无效响应的情形。</w:t>
      </w:r>
    </w:p>
    <w:p w14:paraId="430902CA">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6.2出现下列情形之一的，谈判失败</w:t>
      </w:r>
    </w:p>
    <w:p w14:paraId="25D16CDE">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6.2.1出现影响采购公正的违法违规行为的。</w:t>
      </w:r>
    </w:p>
    <w:p w14:paraId="54C2716E">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6.2.2因重大变故，采购任务取消的。</w:t>
      </w:r>
    </w:p>
    <w:p w14:paraId="6DE8B239">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6.2.3谈判小组认定谈判文件存在歧义、重大缺陷导致评审工作无法进行。</w:t>
      </w:r>
    </w:p>
    <w:p w14:paraId="6E245BDD">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6.3响应文件递交截止时间结束后参加谈判的供应商不足三家的处理：</w:t>
      </w:r>
    </w:p>
    <w:p w14:paraId="3104B735">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6.3.1如出现响应文件提交截止时间结束后参加谈判的供应商或者在评审期间对谈判文件做出实质响应的供应商不足三家情况，按政府采购相关规定执行。</w:t>
      </w:r>
    </w:p>
    <w:p w14:paraId="3FC76AB8">
      <w:pPr>
        <w:snapToGrid w:val="0"/>
        <w:spacing w:line="500" w:lineRule="exact"/>
        <w:rPr>
          <w:rFonts w:asciiTheme="minorEastAsia" w:hAnsiTheme="minorEastAsia"/>
          <w:b/>
          <w:sz w:val="24"/>
          <w:szCs w:val="24"/>
        </w:rPr>
      </w:pPr>
      <w:r>
        <w:rPr>
          <w:rFonts w:hint="eastAsia" w:asciiTheme="minorEastAsia" w:hAnsiTheme="minorEastAsia"/>
          <w:b/>
          <w:sz w:val="24"/>
          <w:szCs w:val="24"/>
        </w:rPr>
        <w:t>六、成交</w:t>
      </w:r>
    </w:p>
    <w:p w14:paraId="3B465A0B">
      <w:pPr>
        <w:snapToGrid w:val="0"/>
        <w:spacing w:line="500" w:lineRule="exact"/>
        <w:rPr>
          <w:rFonts w:asciiTheme="minorEastAsia" w:hAnsiTheme="minorEastAsia"/>
          <w:sz w:val="24"/>
          <w:szCs w:val="24"/>
        </w:rPr>
      </w:pPr>
      <w:r>
        <w:rPr>
          <w:rFonts w:hint="eastAsia" w:asciiTheme="minorEastAsia" w:hAnsiTheme="minorEastAsia"/>
          <w:sz w:val="24"/>
          <w:szCs w:val="24"/>
        </w:rPr>
        <w:t>1.确定成交单位</w:t>
      </w:r>
    </w:p>
    <w:p w14:paraId="42AC8608">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1.1成交候选供应商的选取原则和数量见谈判文件第四部分规定。</w:t>
      </w:r>
    </w:p>
    <w:p w14:paraId="77489AA3">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1.2采购人授权谈判小组在成交候选供应商中直接确定成交供应商。</w:t>
      </w:r>
    </w:p>
    <w:p w14:paraId="0133A1F8">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1.3采购人将在“</w:t>
      </w:r>
      <w:r>
        <w:rPr>
          <w:rFonts w:hint="eastAsia" w:cs="宋体" w:asciiTheme="minorEastAsia" w:hAnsiTheme="minorEastAsia"/>
          <w:kern w:val="0"/>
          <w:sz w:val="24"/>
          <w:szCs w:val="24"/>
        </w:rPr>
        <w:t>启东市自来水厂有限公司网站</w:t>
      </w:r>
      <w:r>
        <w:rPr>
          <w:rFonts w:hint="eastAsia" w:asciiTheme="minorEastAsia" w:hAnsiTheme="minorEastAsia"/>
          <w:sz w:val="24"/>
          <w:szCs w:val="24"/>
        </w:rPr>
        <w:t>”发布成交结果公告，公告期限为1个工作日。</w:t>
      </w:r>
    </w:p>
    <w:p w14:paraId="328580D2">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1.4若有充分证据证明，成交供应商出现下列情况之一的，一经查实，将被取消成交资格：</w:t>
      </w:r>
    </w:p>
    <w:p w14:paraId="42324926">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1.4.1提供虚假材料谋取成交的。</w:t>
      </w:r>
    </w:p>
    <w:p w14:paraId="4E6814AC">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1.4.2向采购人行贿或者评审专家提供其他不正当利益的。</w:t>
      </w:r>
    </w:p>
    <w:p w14:paraId="53CFFC03">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1.4.3恶意竞争，最终总报价明显低于其自身合理成本且又无法提供证明的。</w:t>
      </w:r>
    </w:p>
    <w:p w14:paraId="49DADDFD">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1.4.4属于本文件规定的无效条件，但在评审过程中又未被谈判小组发现的。</w:t>
      </w:r>
    </w:p>
    <w:p w14:paraId="0CF48BEC">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1.4.5与采购人或者其他供应商恶意串通的。</w:t>
      </w:r>
    </w:p>
    <w:p w14:paraId="1A85E877">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1.4.6采取不正当手段诋毁、排挤其他供应商的。</w:t>
      </w:r>
    </w:p>
    <w:p w14:paraId="6D7498AE">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1.5有下列情形之一的，视为供应商串通参与谈判，响应无效：</w:t>
      </w:r>
    </w:p>
    <w:p w14:paraId="76A5A48B">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1.5.1不同供应商的响应文件由同一单位或者个人编制。</w:t>
      </w:r>
    </w:p>
    <w:p w14:paraId="5BACF0A7">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1.5.2不同供应商委托同一单位或者个人办理谈判事宜。</w:t>
      </w:r>
    </w:p>
    <w:p w14:paraId="15A3BEA4">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1.5.3不同供应商的响应文件载明的项目管理成员或者联系人员为同一人。</w:t>
      </w:r>
    </w:p>
    <w:p w14:paraId="234276CD">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1.5.4不同供应商的响应文件异常一致或者响应报价呈规律性差异。</w:t>
      </w:r>
    </w:p>
    <w:p w14:paraId="46EA443C">
      <w:pPr>
        <w:snapToGrid w:val="0"/>
        <w:spacing w:line="500" w:lineRule="exact"/>
        <w:rPr>
          <w:rFonts w:asciiTheme="minorEastAsia" w:hAnsiTheme="minorEastAsia"/>
          <w:sz w:val="24"/>
          <w:szCs w:val="24"/>
        </w:rPr>
      </w:pPr>
      <w:r>
        <w:rPr>
          <w:rFonts w:hint="eastAsia" w:asciiTheme="minorEastAsia" w:hAnsiTheme="minorEastAsia"/>
          <w:sz w:val="24"/>
          <w:szCs w:val="24"/>
        </w:rPr>
        <w:t>2.质疑处理</w:t>
      </w:r>
    </w:p>
    <w:p w14:paraId="2DB0E8DD">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2.1提出质疑的供应商应当是参与所质疑项目采购活动的供应商。潜在供应商依法获取其可质疑的谈判文件的，可以对谈判文件提出质疑。</w:t>
      </w:r>
    </w:p>
    <w:p w14:paraId="0773F021">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2.2供应商认为谈判文件、采购过程和采购结果使自己的权益受到损害的，可以在知道或者应知其权益受到损害之日起七个工作日内，以书面形式向采购人或采购代理机构提出质疑。上述应知其权益受到损害之日，是指：</w:t>
      </w:r>
    </w:p>
    <w:p w14:paraId="37496CF5">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2.2.1对可以质疑的谈判文件提出质疑的，为收到谈判文件之日或者谈判文件公告期限届满之日。</w:t>
      </w:r>
    </w:p>
    <w:p w14:paraId="4C569BF0">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2.2.2对采购过程提出质疑的，为各采购程序环节结束之日。</w:t>
      </w:r>
    </w:p>
    <w:p w14:paraId="3302B54C">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2.2.3对成交结果提出质疑的，为成交结果公告期限届满之日。</w:t>
      </w:r>
    </w:p>
    <w:p w14:paraId="3B1AB89D">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供应商应当在法定质疑期内一次性提出针对同一采购程序环节的质疑。</w:t>
      </w:r>
    </w:p>
    <w:p w14:paraId="569DB5FD">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2.3质疑函必须按照本谈判文件中《质疑函范本》要求的格式和内容进行填写。供应商如组成联合体参加谈判，则《质疑函范本》中要求签字、盖章、加盖公章之处，联合体各方均须按要求签字、盖章、加盖公章。</w:t>
      </w:r>
    </w:p>
    <w:p w14:paraId="0AE7C361">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2.4对采购方式、谈判文件、谈判结果等的质疑请向采购人或采购代理机构提出。供应商于法定期限内提起质疑，向采购人或采购代理机构以书面形式提交质疑函。</w:t>
      </w:r>
    </w:p>
    <w:p w14:paraId="5490FC7A">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2.5以下情形的质疑不予受理</w:t>
      </w:r>
    </w:p>
    <w:p w14:paraId="4060614B">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2.5.1内容不符合《政府采购质疑和投诉办法》第十二条规定的质疑。</w:t>
      </w:r>
    </w:p>
    <w:p w14:paraId="5EEEE8E1">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2.5.2超出政府采购法定期限的质疑。</w:t>
      </w:r>
    </w:p>
    <w:p w14:paraId="0C809AA0">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2.5.3未参加谈判活动的供应商或在谈判活动中自身权益未受到损害的供应商所提出的质疑。</w:t>
      </w:r>
    </w:p>
    <w:p w14:paraId="0C53AF4A">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2.5.4供应商组成联合体参加谈判，联合体中任何一方或多方未按要求签字、盖章、加盖公章的质疑。</w:t>
      </w:r>
    </w:p>
    <w:p w14:paraId="74B0E42E">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2.6供应商提出书面质疑必须有理、有据，不得捏造事实、提供虚假材料进行恶意质疑。否则，一经查实，采购人有权依据政府采购的有关规定，报请政府采购监管部门对该供应商进行相应的行政处罚和记录该供应商的失信信息。</w:t>
      </w:r>
    </w:p>
    <w:p w14:paraId="4946A197">
      <w:pPr>
        <w:snapToGrid w:val="0"/>
        <w:spacing w:line="500" w:lineRule="exact"/>
        <w:rPr>
          <w:rFonts w:asciiTheme="minorEastAsia" w:hAnsiTheme="minorEastAsia"/>
          <w:sz w:val="24"/>
          <w:szCs w:val="24"/>
        </w:rPr>
      </w:pPr>
      <w:r>
        <w:rPr>
          <w:rFonts w:hint="eastAsia" w:asciiTheme="minorEastAsia" w:hAnsiTheme="minorEastAsia"/>
          <w:sz w:val="24"/>
          <w:szCs w:val="24"/>
        </w:rPr>
        <w:t>3.成交通知书</w:t>
      </w:r>
    </w:p>
    <w:p w14:paraId="72F15363">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3.1成交结果确定后，采购人将向成交供应商发出成交通知书。</w:t>
      </w:r>
    </w:p>
    <w:p w14:paraId="2B9A6BAB">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3.2成交通知书将是合同的一个组成部分。对采购人和成交供应商均具有法律效力。成交通知书发出后，采购人改变成交结果的，或者成交供应商放弃谈判项目的，应当依法承担法律责任。</w:t>
      </w:r>
    </w:p>
    <w:p w14:paraId="3D549DE5">
      <w:pPr>
        <w:snapToGrid w:val="0"/>
        <w:spacing w:line="500" w:lineRule="exact"/>
        <w:rPr>
          <w:rFonts w:asciiTheme="minorEastAsia" w:hAnsiTheme="minorEastAsia"/>
          <w:b/>
          <w:sz w:val="24"/>
          <w:szCs w:val="24"/>
        </w:rPr>
      </w:pPr>
      <w:r>
        <w:rPr>
          <w:rFonts w:hint="eastAsia" w:asciiTheme="minorEastAsia" w:hAnsiTheme="minorEastAsia"/>
          <w:b/>
          <w:sz w:val="24"/>
          <w:szCs w:val="24"/>
        </w:rPr>
        <w:t>七、授予合同</w:t>
      </w:r>
    </w:p>
    <w:p w14:paraId="1D6F8EC5">
      <w:pPr>
        <w:snapToGrid w:val="0"/>
        <w:spacing w:line="500" w:lineRule="exact"/>
        <w:rPr>
          <w:rFonts w:asciiTheme="minorEastAsia" w:hAnsiTheme="minorEastAsia"/>
          <w:sz w:val="24"/>
          <w:szCs w:val="24"/>
        </w:rPr>
      </w:pPr>
      <w:r>
        <w:rPr>
          <w:rFonts w:hint="eastAsia" w:asciiTheme="minorEastAsia" w:hAnsiTheme="minorEastAsia"/>
          <w:sz w:val="24"/>
          <w:szCs w:val="24"/>
        </w:rPr>
        <w:t>1.签订合同</w:t>
      </w:r>
    </w:p>
    <w:p w14:paraId="45D76D12">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1.1成交供应商应当在成交通知书发出之日起十五日内，按照谈判文件确定的事项与采购人签订采购合同。</w:t>
      </w:r>
    </w:p>
    <w:p w14:paraId="65DEB26A">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1.2谈判文件、成交供应商的响应文件及谈判过程中有关澄清、承诺文件均应作为合同附件。</w:t>
      </w:r>
    </w:p>
    <w:p w14:paraId="65143CF4">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1.3签订合同后，成交供应商不得将货物（含其他相关服务）或服务进行转包。未经采购人同意，成交供应商也不得采用分包的形式履行合同，否则采购人有权终止合同，成交供应商的履约保证金将不予退还。采购合同分包履行的，成交供应商就采购项目和分包项目向采购人负责，分包供应商就分包项目承担责任。转包或分包造成采购人损失的，成交供应商应承担相应赔偿责任。</w:t>
      </w:r>
    </w:p>
    <w:p w14:paraId="346D6E77">
      <w:pPr>
        <w:snapToGrid w:val="0"/>
        <w:spacing w:line="500" w:lineRule="exact"/>
        <w:rPr>
          <w:rFonts w:asciiTheme="minorEastAsia" w:hAnsiTheme="minorEastAsia"/>
          <w:sz w:val="24"/>
          <w:szCs w:val="24"/>
        </w:rPr>
      </w:pPr>
      <w:r>
        <w:rPr>
          <w:rFonts w:hint="eastAsia" w:asciiTheme="minorEastAsia" w:hAnsiTheme="minorEastAsia"/>
          <w:sz w:val="24"/>
          <w:szCs w:val="24"/>
        </w:rPr>
        <w:t>2.货物和服务的追加、减少和添购</w:t>
      </w:r>
    </w:p>
    <w:p w14:paraId="5254A6FA">
      <w:pPr>
        <w:snapToGrid w:val="0"/>
        <w:spacing w:line="480" w:lineRule="exact"/>
        <w:ind w:firstLine="480" w:firstLineChars="200"/>
        <w:rPr>
          <w:rFonts w:asciiTheme="minorEastAsia" w:hAnsiTheme="minorEastAsia"/>
          <w:sz w:val="24"/>
          <w:szCs w:val="24"/>
        </w:rPr>
      </w:pPr>
      <w:r>
        <w:rPr>
          <w:rFonts w:hint="eastAsia" w:asciiTheme="minorEastAsia" w:hAnsiTheme="minorEastAsia"/>
          <w:sz w:val="24"/>
          <w:szCs w:val="24"/>
        </w:rPr>
        <w:t>2.1采购合同履行中，采购人需追加与合同标的相同的货物和服务的，在不改变合同其他条款的前提下，可以与成交供应商协商签订补充合同，但所有补充合同的采购金额不超过原合同金额10%。</w:t>
      </w:r>
    </w:p>
    <w:p w14:paraId="44C165A5">
      <w:pPr>
        <w:snapToGrid w:val="0"/>
        <w:spacing w:line="480" w:lineRule="exact"/>
        <w:ind w:firstLine="480" w:firstLineChars="200"/>
        <w:rPr>
          <w:rFonts w:asciiTheme="minorEastAsia" w:hAnsiTheme="minorEastAsia"/>
          <w:sz w:val="24"/>
          <w:szCs w:val="24"/>
        </w:rPr>
      </w:pPr>
      <w:r>
        <w:rPr>
          <w:rFonts w:hint="eastAsia" w:asciiTheme="minorEastAsia" w:hAnsiTheme="minorEastAsia"/>
          <w:sz w:val="24"/>
          <w:szCs w:val="24"/>
        </w:rPr>
        <w:t>2.2采购结束后，采购人若由于各种客观原因，必须对采购项目所牵涉的货物和服务进行适当的减少时，在双方协商一致的前提下，可以按照采购时的价格水平做相应的调减，并据此签订补充合同。</w:t>
      </w:r>
    </w:p>
    <w:p w14:paraId="057476EF">
      <w:pPr>
        <w:pStyle w:val="2"/>
      </w:pPr>
    </w:p>
    <w:p w14:paraId="093646BA"/>
    <w:p w14:paraId="1A22182B">
      <w:pPr>
        <w:pStyle w:val="2"/>
      </w:pPr>
    </w:p>
    <w:p w14:paraId="64E796F1"/>
    <w:p w14:paraId="0804AF42">
      <w:pPr>
        <w:widowControl/>
        <w:snapToGrid w:val="0"/>
        <w:spacing w:line="500" w:lineRule="exact"/>
        <w:ind w:firstLine="643" w:firstLineChars="200"/>
        <w:jc w:val="center"/>
        <w:rPr>
          <w:rFonts w:ascii="宋体" w:hAnsi="宋体" w:eastAsia="宋体" w:cs="仿宋_GB2312"/>
          <w:b/>
          <w:sz w:val="32"/>
          <w:szCs w:val="32"/>
        </w:rPr>
      </w:pPr>
      <w:r>
        <w:rPr>
          <w:rFonts w:hint="eastAsia" w:ascii="宋体" w:hAnsi="宋体" w:eastAsia="宋体" w:cs="仿宋_GB2312"/>
          <w:b/>
          <w:sz w:val="32"/>
          <w:szCs w:val="32"/>
        </w:rPr>
        <w:t>第三部分  项目需求</w:t>
      </w:r>
    </w:p>
    <w:p w14:paraId="434CF91E">
      <w:pPr>
        <w:snapToGrid w:val="0"/>
        <w:spacing w:line="500" w:lineRule="exact"/>
        <w:rPr>
          <w:rFonts w:asciiTheme="minorEastAsia" w:hAnsiTheme="minorEastAsia"/>
          <w:b/>
          <w:sz w:val="24"/>
          <w:szCs w:val="24"/>
        </w:rPr>
      </w:pPr>
      <w:r>
        <w:rPr>
          <w:rFonts w:hint="eastAsia" w:asciiTheme="minorEastAsia" w:hAnsiTheme="minorEastAsia"/>
          <w:b/>
          <w:sz w:val="24"/>
          <w:szCs w:val="24"/>
        </w:rPr>
        <w:t>请供应商在制作响应文件时仔细研究项目需求说明。</w:t>
      </w:r>
    </w:p>
    <w:p w14:paraId="0B8F0834">
      <w:pPr>
        <w:widowControl/>
        <w:numPr>
          <w:ilvl w:val="0"/>
          <w:numId w:val="1"/>
        </w:numPr>
        <w:spacing w:line="480" w:lineRule="exact"/>
        <w:ind w:firstLine="482" w:firstLineChars="200"/>
        <w:jc w:val="left"/>
        <w:rPr>
          <w:rFonts w:ascii="宋体" w:hAnsi="宋体" w:eastAsia="宋体" w:cs="宋体"/>
          <w:b/>
          <w:bCs/>
          <w:kern w:val="0"/>
          <w:sz w:val="24"/>
          <w:szCs w:val="24"/>
        </w:rPr>
      </w:pPr>
      <w:r>
        <w:rPr>
          <w:rFonts w:hint="eastAsia" w:ascii="宋体" w:hAnsi="宋体" w:eastAsia="宋体" w:cs="宋体"/>
          <w:b/>
          <w:bCs/>
          <w:kern w:val="0"/>
          <w:sz w:val="24"/>
          <w:szCs w:val="24"/>
        </w:rPr>
        <w:t>采购需求</w:t>
      </w:r>
    </w:p>
    <w:p w14:paraId="4BC87A9B">
      <w:pPr>
        <w:pStyle w:val="2"/>
      </w:pPr>
      <w:r>
        <w:rPr>
          <w:rFonts w:hint="eastAsia" w:hAnsi="宋体" w:cs="宋体"/>
          <w:b/>
          <w:bCs/>
          <w:sz w:val="24"/>
          <w:szCs w:val="24"/>
        </w:rPr>
        <w:t>（一）采购内容</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2804"/>
        <w:gridCol w:w="1386"/>
        <w:gridCol w:w="882"/>
        <w:gridCol w:w="850"/>
        <w:gridCol w:w="1953"/>
      </w:tblGrid>
      <w:tr w14:paraId="5610B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09" w:type="dxa"/>
            <w:noWrap/>
            <w:vAlign w:val="center"/>
          </w:tcPr>
          <w:p w14:paraId="16C980A6">
            <w:pPr>
              <w:jc w:val="center"/>
              <w:rPr>
                <w:rFonts w:ascii="宋体" w:hAnsi="宋体"/>
              </w:rPr>
            </w:pPr>
            <w:r>
              <w:rPr>
                <w:rFonts w:hint="eastAsia" w:ascii="宋体" w:hAnsi="宋体"/>
              </w:rPr>
              <w:t>序号</w:t>
            </w:r>
          </w:p>
        </w:tc>
        <w:tc>
          <w:tcPr>
            <w:tcW w:w="2804" w:type="dxa"/>
            <w:noWrap/>
            <w:vAlign w:val="center"/>
          </w:tcPr>
          <w:p w14:paraId="58F985C5">
            <w:pPr>
              <w:jc w:val="center"/>
              <w:rPr>
                <w:rFonts w:ascii="宋体" w:hAnsi="宋体" w:cs="宋体"/>
                <w:b/>
                <w:bCs/>
                <w:sz w:val="22"/>
              </w:rPr>
            </w:pPr>
            <w:r>
              <w:rPr>
                <w:rFonts w:hint="eastAsia"/>
                <w:b/>
                <w:bCs/>
                <w:sz w:val="22"/>
              </w:rPr>
              <w:t xml:space="preserve"> 等保测评系统名称</w:t>
            </w:r>
          </w:p>
        </w:tc>
        <w:tc>
          <w:tcPr>
            <w:tcW w:w="1386" w:type="dxa"/>
            <w:noWrap/>
            <w:vAlign w:val="center"/>
          </w:tcPr>
          <w:p w14:paraId="2E0E2F9D">
            <w:pPr>
              <w:jc w:val="center"/>
              <w:rPr>
                <w:rFonts w:ascii="宋体" w:hAnsi="宋体"/>
              </w:rPr>
            </w:pPr>
            <w:r>
              <w:rPr>
                <w:rFonts w:ascii="宋体" w:hAnsi="宋体"/>
              </w:rPr>
              <w:t>系统等级</w:t>
            </w:r>
          </w:p>
        </w:tc>
        <w:tc>
          <w:tcPr>
            <w:tcW w:w="882" w:type="dxa"/>
            <w:noWrap/>
            <w:vAlign w:val="center"/>
          </w:tcPr>
          <w:p w14:paraId="4E8DDE71">
            <w:pPr>
              <w:jc w:val="center"/>
              <w:rPr>
                <w:rFonts w:ascii="宋体" w:hAnsi="宋体"/>
              </w:rPr>
            </w:pPr>
            <w:r>
              <w:rPr>
                <w:rFonts w:hint="eastAsia" w:ascii="宋体" w:hAnsi="宋体"/>
              </w:rPr>
              <w:t>数量</w:t>
            </w:r>
          </w:p>
        </w:tc>
        <w:tc>
          <w:tcPr>
            <w:tcW w:w="850" w:type="dxa"/>
            <w:noWrap/>
            <w:vAlign w:val="center"/>
          </w:tcPr>
          <w:p w14:paraId="3A4A3741">
            <w:pPr>
              <w:jc w:val="center"/>
              <w:rPr>
                <w:rFonts w:ascii="宋体" w:hAnsi="宋体"/>
              </w:rPr>
            </w:pPr>
            <w:r>
              <w:rPr>
                <w:rFonts w:hint="eastAsia" w:ascii="宋体" w:hAnsi="宋体"/>
              </w:rPr>
              <w:t>单位</w:t>
            </w:r>
          </w:p>
        </w:tc>
        <w:tc>
          <w:tcPr>
            <w:tcW w:w="1953" w:type="dxa"/>
            <w:noWrap/>
            <w:vAlign w:val="center"/>
          </w:tcPr>
          <w:p w14:paraId="7C248FD5">
            <w:pPr>
              <w:jc w:val="center"/>
              <w:rPr>
                <w:rFonts w:ascii="宋体" w:hAnsi="宋体"/>
              </w:rPr>
            </w:pPr>
            <w:r>
              <w:rPr>
                <w:rFonts w:hint="eastAsia" w:ascii="宋体" w:hAnsi="宋体"/>
              </w:rPr>
              <w:t xml:space="preserve"> 最高限价（元）</w:t>
            </w:r>
          </w:p>
        </w:tc>
      </w:tr>
      <w:tr w14:paraId="26C0E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09" w:type="dxa"/>
            <w:noWrap/>
            <w:vAlign w:val="center"/>
          </w:tcPr>
          <w:p w14:paraId="4AC521C8">
            <w:pPr>
              <w:jc w:val="center"/>
              <w:rPr>
                <w:rFonts w:ascii="宋体" w:hAnsi="宋体"/>
              </w:rPr>
            </w:pPr>
            <w:r>
              <w:rPr>
                <w:rFonts w:hint="eastAsia"/>
                <w:sz w:val="22"/>
              </w:rPr>
              <w:t>1</w:t>
            </w:r>
          </w:p>
        </w:tc>
        <w:tc>
          <w:tcPr>
            <w:tcW w:w="2804" w:type="dxa"/>
            <w:noWrap/>
            <w:vAlign w:val="center"/>
          </w:tcPr>
          <w:p w14:paraId="4D4AD94B">
            <w:pPr>
              <w:jc w:val="center"/>
              <w:rPr>
                <w:rFonts w:ascii="宋体" w:hAnsi="宋体" w:cs="宋体"/>
                <w:b/>
                <w:bCs/>
                <w:sz w:val="22"/>
              </w:rPr>
            </w:pPr>
            <w:r>
              <w:rPr>
                <w:rFonts w:hint="eastAsia"/>
                <w:sz w:val="22"/>
              </w:rPr>
              <w:t>营业收费系统MIS</w:t>
            </w:r>
          </w:p>
        </w:tc>
        <w:tc>
          <w:tcPr>
            <w:tcW w:w="1386" w:type="dxa"/>
            <w:noWrap/>
            <w:vAlign w:val="center"/>
          </w:tcPr>
          <w:p w14:paraId="7759FBF1">
            <w:pPr>
              <w:ind w:firstLine="105" w:firstLineChars="50"/>
              <w:jc w:val="center"/>
              <w:rPr>
                <w:rFonts w:ascii="宋体" w:hAnsi="宋体"/>
              </w:rPr>
            </w:pPr>
            <w:r>
              <w:rPr>
                <w:rFonts w:ascii="宋体" w:hAnsi="宋体"/>
              </w:rPr>
              <w:t>第三级</w:t>
            </w:r>
          </w:p>
        </w:tc>
        <w:tc>
          <w:tcPr>
            <w:tcW w:w="882" w:type="dxa"/>
            <w:noWrap/>
            <w:vAlign w:val="center"/>
          </w:tcPr>
          <w:p w14:paraId="7A6649F3">
            <w:pPr>
              <w:ind w:firstLine="105" w:firstLineChars="50"/>
              <w:jc w:val="center"/>
              <w:rPr>
                <w:rFonts w:ascii="宋体" w:hAnsi="宋体"/>
              </w:rPr>
            </w:pPr>
            <w:r>
              <w:rPr>
                <w:rFonts w:hint="eastAsia" w:ascii="宋体" w:hAnsi="宋体"/>
              </w:rPr>
              <w:t>1</w:t>
            </w:r>
          </w:p>
        </w:tc>
        <w:tc>
          <w:tcPr>
            <w:tcW w:w="850" w:type="dxa"/>
            <w:noWrap/>
            <w:vAlign w:val="center"/>
          </w:tcPr>
          <w:p w14:paraId="75EF4475">
            <w:pPr>
              <w:jc w:val="center"/>
              <w:rPr>
                <w:rFonts w:ascii="宋体" w:hAnsi="宋体"/>
              </w:rPr>
            </w:pPr>
            <w:r>
              <w:rPr>
                <w:rFonts w:hint="eastAsia" w:ascii="宋体" w:hAnsi="宋体"/>
              </w:rPr>
              <w:t>项</w:t>
            </w:r>
          </w:p>
        </w:tc>
        <w:tc>
          <w:tcPr>
            <w:tcW w:w="1953" w:type="dxa"/>
            <w:vMerge w:val="restart"/>
            <w:noWrap/>
            <w:vAlign w:val="center"/>
          </w:tcPr>
          <w:p w14:paraId="52FF637F">
            <w:pPr>
              <w:spacing w:line="440" w:lineRule="exact"/>
              <w:jc w:val="center"/>
              <w:rPr>
                <w:rFonts w:ascii="宋体" w:hAnsi="宋体" w:cs="宋体"/>
                <w:szCs w:val="21"/>
              </w:rPr>
            </w:pPr>
            <w:r>
              <w:rPr>
                <w:rFonts w:hint="eastAsia" w:ascii="宋体" w:hAnsi="宋体" w:cs="宋体"/>
                <w:szCs w:val="21"/>
              </w:rPr>
              <w:t>10</w:t>
            </w:r>
            <w:r>
              <w:rPr>
                <w:rFonts w:hint="eastAsia" w:ascii="宋体" w:hAnsi="宋体" w:cs="宋体"/>
                <w:szCs w:val="21"/>
                <w:lang w:val="en-US" w:eastAsia="zh-CN"/>
              </w:rPr>
              <w:t>6</w:t>
            </w:r>
            <w:r>
              <w:rPr>
                <w:rFonts w:hint="eastAsia" w:ascii="宋体" w:hAnsi="宋体" w:cs="宋体"/>
                <w:szCs w:val="21"/>
              </w:rPr>
              <w:t>000</w:t>
            </w:r>
          </w:p>
        </w:tc>
      </w:tr>
      <w:tr w14:paraId="12B77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09" w:type="dxa"/>
            <w:noWrap/>
            <w:vAlign w:val="center"/>
          </w:tcPr>
          <w:p w14:paraId="77E091D0">
            <w:pPr>
              <w:jc w:val="center"/>
              <w:rPr>
                <w:rFonts w:ascii="宋体" w:hAnsi="宋体"/>
              </w:rPr>
            </w:pPr>
            <w:r>
              <w:rPr>
                <w:rFonts w:hint="eastAsia"/>
                <w:sz w:val="22"/>
              </w:rPr>
              <w:t>2</w:t>
            </w:r>
          </w:p>
        </w:tc>
        <w:tc>
          <w:tcPr>
            <w:tcW w:w="2804" w:type="dxa"/>
            <w:noWrap/>
            <w:vAlign w:val="center"/>
          </w:tcPr>
          <w:p w14:paraId="34804AE8">
            <w:pPr>
              <w:jc w:val="center"/>
              <w:rPr>
                <w:sz w:val="22"/>
              </w:rPr>
            </w:pPr>
            <w:r>
              <w:rPr>
                <w:rFonts w:hint="eastAsia"/>
                <w:sz w:val="22"/>
              </w:rPr>
              <w:t>集抄平台（含scada系统）</w:t>
            </w:r>
          </w:p>
        </w:tc>
        <w:tc>
          <w:tcPr>
            <w:tcW w:w="1386" w:type="dxa"/>
            <w:noWrap/>
            <w:vAlign w:val="center"/>
          </w:tcPr>
          <w:p w14:paraId="4C32F616">
            <w:pPr>
              <w:ind w:firstLine="105" w:firstLineChars="50"/>
              <w:jc w:val="center"/>
              <w:rPr>
                <w:rFonts w:ascii="宋体" w:hAnsi="宋体"/>
              </w:rPr>
            </w:pPr>
            <w:r>
              <w:rPr>
                <w:rFonts w:ascii="宋体" w:hAnsi="宋体"/>
              </w:rPr>
              <w:t>第三级</w:t>
            </w:r>
          </w:p>
        </w:tc>
        <w:tc>
          <w:tcPr>
            <w:tcW w:w="882" w:type="dxa"/>
            <w:noWrap/>
            <w:vAlign w:val="center"/>
          </w:tcPr>
          <w:p w14:paraId="7C3F44EE">
            <w:pPr>
              <w:ind w:firstLine="105" w:firstLineChars="50"/>
              <w:jc w:val="center"/>
              <w:rPr>
                <w:rFonts w:ascii="宋体" w:hAnsi="宋体"/>
              </w:rPr>
            </w:pPr>
            <w:r>
              <w:rPr>
                <w:rFonts w:hint="eastAsia" w:ascii="宋体" w:hAnsi="宋体"/>
              </w:rPr>
              <w:t>1</w:t>
            </w:r>
          </w:p>
        </w:tc>
        <w:tc>
          <w:tcPr>
            <w:tcW w:w="850" w:type="dxa"/>
            <w:noWrap/>
            <w:vAlign w:val="center"/>
          </w:tcPr>
          <w:p w14:paraId="492D27E8">
            <w:pPr>
              <w:jc w:val="center"/>
              <w:rPr>
                <w:rFonts w:ascii="宋体" w:hAnsi="宋体"/>
              </w:rPr>
            </w:pPr>
            <w:r>
              <w:rPr>
                <w:rFonts w:hint="eastAsia" w:ascii="宋体" w:hAnsi="宋体"/>
              </w:rPr>
              <w:t>项</w:t>
            </w:r>
          </w:p>
        </w:tc>
        <w:tc>
          <w:tcPr>
            <w:tcW w:w="1953" w:type="dxa"/>
            <w:vMerge w:val="continue"/>
            <w:noWrap/>
            <w:vAlign w:val="center"/>
          </w:tcPr>
          <w:p w14:paraId="55953264">
            <w:pPr>
              <w:spacing w:line="440" w:lineRule="exact"/>
              <w:jc w:val="center"/>
              <w:rPr>
                <w:rFonts w:ascii="宋体" w:hAnsi="宋体" w:cs="宋体"/>
                <w:szCs w:val="21"/>
              </w:rPr>
            </w:pPr>
          </w:p>
        </w:tc>
      </w:tr>
      <w:tr w14:paraId="22255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09" w:type="dxa"/>
            <w:noWrap/>
            <w:vAlign w:val="center"/>
          </w:tcPr>
          <w:p w14:paraId="3F8E0A97">
            <w:pPr>
              <w:jc w:val="center"/>
              <w:rPr>
                <w:rFonts w:ascii="宋体" w:hAnsi="宋体"/>
              </w:rPr>
            </w:pPr>
            <w:r>
              <w:rPr>
                <w:rFonts w:hint="eastAsia"/>
                <w:sz w:val="22"/>
              </w:rPr>
              <w:t>3</w:t>
            </w:r>
          </w:p>
        </w:tc>
        <w:tc>
          <w:tcPr>
            <w:tcW w:w="2804" w:type="dxa"/>
            <w:noWrap/>
            <w:vAlign w:val="center"/>
          </w:tcPr>
          <w:p w14:paraId="73790305">
            <w:pPr>
              <w:jc w:val="center"/>
              <w:rPr>
                <w:rFonts w:ascii="宋体" w:hAnsi="宋体" w:cs="宋体"/>
                <w:sz w:val="22"/>
              </w:rPr>
            </w:pPr>
            <w:r>
              <w:rPr>
                <w:rFonts w:hint="eastAsia"/>
                <w:sz w:val="22"/>
              </w:rPr>
              <w:t>增值服务</w:t>
            </w:r>
          </w:p>
        </w:tc>
        <w:tc>
          <w:tcPr>
            <w:tcW w:w="1386" w:type="dxa"/>
            <w:noWrap/>
            <w:vAlign w:val="center"/>
          </w:tcPr>
          <w:p w14:paraId="15A4B3F3">
            <w:pPr>
              <w:ind w:firstLine="105" w:firstLineChars="50"/>
              <w:jc w:val="center"/>
              <w:rPr>
                <w:rFonts w:ascii="宋体" w:hAnsi="宋体"/>
              </w:rPr>
            </w:pPr>
            <w:r>
              <w:rPr>
                <w:rFonts w:hint="eastAsia" w:ascii="宋体" w:hAnsi="宋体"/>
              </w:rPr>
              <w:t>/</w:t>
            </w:r>
          </w:p>
        </w:tc>
        <w:tc>
          <w:tcPr>
            <w:tcW w:w="882" w:type="dxa"/>
            <w:noWrap/>
            <w:vAlign w:val="center"/>
          </w:tcPr>
          <w:p w14:paraId="2264AE2C">
            <w:pPr>
              <w:ind w:firstLine="105" w:firstLineChars="50"/>
              <w:jc w:val="center"/>
              <w:rPr>
                <w:rFonts w:ascii="宋体" w:hAnsi="宋体"/>
              </w:rPr>
            </w:pPr>
            <w:r>
              <w:rPr>
                <w:rFonts w:hint="eastAsia" w:ascii="宋体" w:hAnsi="宋体"/>
              </w:rPr>
              <w:t>1</w:t>
            </w:r>
          </w:p>
        </w:tc>
        <w:tc>
          <w:tcPr>
            <w:tcW w:w="850" w:type="dxa"/>
            <w:noWrap/>
            <w:vAlign w:val="center"/>
          </w:tcPr>
          <w:p w14:paraId="404328DC">
            <w:pPr>
              <w:jc w:val="center"/>
              <w:rPr>
                <w:rFonts w:ascii="宋体" w:hAnsi="宋体"/>
              </w:rPr>
            </w:pPr>
            <w:r>
              <w:rPr>
                <w:rFonts w:hint="eastAsia" w:ascii="宋体" w:hAnsi="宋体"/>
              </w:rPr>
              <w:t>项</w:t>
            </w:r>
          </w:p>
        </w:tc>
        <w:tc>
          <w:tcPr>
            <w:tcW w:w="1953" w:type="dxa"/>
            <w:vMerge w:val="continue"/>
            <w:noWrap/>
            <w:vAlign w:val="center"/>
          </w:tcPr>
          <w:p w14:paraId="162A5B85">
            <w:pPr>
              <w:spacing w:line="440" w:lineRule="exact"/>
              <w:jc w:val="center"/>
              <w:rPr>
                <w:rFonts w:ascii="宋体" w:hAnsi="宋体" w:cs="宋体"/>
                <w:szCs w:val="21"/>
              </w:rPr>
            </w:pPr>
          </w:p>
        </w:tc>
      </w:tr>
      <w:tr w14:paraId="44ED2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584" w:type="dxa"/>
            <w:gridSpan w:val="6"/>
            <w:noWrap/>
          </w:tcPr>
          <w:p w14:paraId="79AC26F1">
            <w:pPr>
              <w:adjustRightInd w:val="0"/>
              <w:snapToGrid w:val="0"/>
              <w:spacing w:line="360" w:lineRule="exact"/>
              <w:textAlignment w:val="baseline"/>
              <w:rPr>
                <w:rFonts w:ascii="宋体" w:hAnsi="宋体"/>
                <w:b/>
              </w:rPr>
            </w:pPr>
            <w:r>
              <w:rPr>
                <w:rFonts w:hint="eastAsia" w:ascii="宋体" w:hAnsi="宋体"/>
                <w:b/>
              </w:rPr>
              <w:t>备注：报价包括完成本项目全部服务所发生的费用，以及为完成本项目工作所必须的劳务费、编制费、差旅费、资料和数据收集与分析、利润、税金、保险、公安备案等所有相关费用。</w:t>
            </w:r>
          </w:p>
        </w:tc>
      </w:tr>
    </w:tbl>
    <w:p w14:paraId="0960BC21">
      <w:pPr>
        <w:widowControl/>
        <w:spacing w:line="480" w:lineRule="exact"/>
        <w:ind w:firstLine="482" w:firstLineChars="200"/>
        <w:jc w:val="left"/>
        <w:rPr>
          <w:rFonts w:ascii="宋体" w:hAnsi="宋体" w:eastAsia="宋体" w:cs="宋体"/>
          <w:b/>
          <w:bCs/>
          <w:kern w:val="0"/>
          <w:sz w:val="24"/>
          <w:szCs w:val="24"/>
        </w:rPr>
      </w:pPr>
      <w:r>
        <w:rPr>
          <w:rFonts w:hint="eastAsia" w:ascii="宋体" w:hAnsi="宋体" w:eastAsia="宋体" w:cs="宋体"/>
          <w:b/>
          <w:bCs/>
          <w:kern w:val="0"/>
          <w:sz w:val="24"/>
          <w:szCs w:val="24"/>
        </w:rPr>
        <w:t>（二）采购标的需实现的功能或者目标, 以及为落实政府采购政策需满足的要求;</w:t>
      </w:r>
    </w:p>
    <w:p w14:paraId="2AB830D5">
      <w:pPr>
        <w:widowControl/>
        <w:spacing w:line="480" w:lineRule="exact"/>
        <w:ind w:firstLine="480" w:firstLineChars="200"/>
        <w:jc w:val="left"/>
        <w:rPr>
          <w:rFonts w:ascii="宋体" w:hAnsi="宋体" w:eastAsia="宋体" w:cs="宋体"/>
          <w:bCs/>
          <w:kern w:val="0"/>
          <w:sz w:val="24"/>
          <w:szCs w:val="24"/>
        </w:rPr>
      </w:pPr>
      <w:r>
        <w:rPr>
          <w:rFonts w:hint="eastAsia" w:ascii="宋体" w:hAnsi="宋体" w:eastAsia="宋体" w:cs="宋体"/>
          <w:bCs/>
          <w:kern w:val="0"/>
          <w:sz w:val="24"/>
          <w:szCs w:val="24"/>
        </w:rPr>
        <w:t>为落实《网络安全法》第二十一条第三款“网络运营者应当按照网络安全等级保护制度的要求”，启东市自来水厂有限公司对重要系统进行网络安全等级保护测评，以明确信息系统现状，发现系统内部存在的安全隐患和不足，加强网络安全升级，降低网络安全隐患。</w:t>
      </w:r>
    </w:p>
    <w:p w14:paraId="2574151A">
      <w:pPr>
        <w:widowControl/>
        <w:spacing w:line="480" w:lineRule="exact"/>
        <w:ind w:firstLine="482" w:firstLineChars="200"/>
        <w:jc w:val="left"/>
        <w:rPr>
          <w:rFonts w:ascii="宋体" w:hAnsi="宋体" w:eastAsia="宋体" w:cs="宋体"/>
          <w:b/>
          <w:bCs/>
          <w:kern w:val="0"/>
          <w:sz w:val="24"/>
          <w:szCs w:val="24"/>
        </w:rPr>
      </w:pPr>
      <w:r>
        <w:rPr>
          <w:rFonts w:hint="eastAsia" w:ascii="宋体" w:hAnsi="宋体" w:eastAsia="宋体" w:cs="宋体"/>
          <w:b/>
          <w:bCs/>
          <w:kern w:val="0"/>
          <w:sz w:val="24"/>
          <w:szCs w:val="24"/>
        </w:rPr>
        <w:t>（三）采购标的需执行的国家相关标准、行业标准、地方标准或者其他标准、规范;</w:t>
      </w:r>
    </w:p>
    <w:p w14:paraId="6693E8D3">
      <w:pPr>
        <w:widowControl/>
        <w:spacing w:line="480" w:lineRule="exact"/>
        <w:ind w:firstLine="480" w:firstLineChars="200"/>
        <w:jc w:val="left"/>
        <w:rPr>
          <w:rFonts w:ascii="宋体" w:hAnsi="宋体" w:eastAsia="宋体" w:cs="宋体"/>
          <w:bCs/>
          <w:kern w:val="0"/>
          <w:sz w:val="24"/>
          <w:szCs w:val="24"/>
        </w:rPr>
      </w:pPr>
      <w:r>
        <w:rPr>
          <w:rFonts w:hint="eastAsia" w:ascii="宋体" w:hAnsi="宋体" w:eastAsia="宋体" w:cs="宋体"/>
          <w:bCs/>
          <w:kern w:val="0"/>
          <w:sz w:val="24"/>
          <w:szCs w:val="24"/>
        </w:rPr>
        <w:t>《中华人民共和国网络安全法》</w:t>
      </w:r>
    </w:p>
    <w:p w14:paraId="41F917F5">
      <w:pPr>
        <w:widowControl/>
        <w:spacing w:line="480" w:lineRule="exact"/>
        <w:ind w:firstLine="480" w:firstLineChars="200"/>
        <w:jc w:val="left"/>
        <w:rPr>
          <w:rFonts w:ascii="宋体" w:hAnsi="宋体" w:eastAsia="宋体" w:cs="宋体"/>
          <w:bCs/>
          <w:kern w:val="0"/>
          <w:sz w:val="24"/>
          <w:szCs w:val="24"/>
        </w:rPr>
      </w:pPr>
      <w:r>
        <w:rPr>
          <w:rFonts w:hint="eastAsia" w:ascii="宋体" w:hAnsi="宋体" w:eastAsia="宋体" w:cs="宋体"/>
          <w:bCs/>
          <w:kern w:val="0"/>
          <w:sz w:val="24"/>
          <w:szCs w:val="24"/>
        </w:rPr>
        <w:t>《GB/T 22239-2019信息安全技术网络安全等级保护基本要求》</w:t>
      </w:r>
    </w:p>
    <w:p w14:paraId="2D70CB23">
      <w:pPr>
        <w:widowControl/>
        <w:spacing w:line="480" w:lineRule="exact"/>
        <w:ind w:firstLine="480" w:firstLineChars="200"/>
        <w:jc w:val="left"/>
        <w:rPr>
          <w:rFonts w:ascii="宋体" w:hAnsi="宋体" w:eastAsia="宋体" w:cs="宋体"/>
          <w:bCs/>
          <w:kern w:val="0"/>
          <w:sz w:val="24"/>
          <w:szCs w:val="24"/>
        </w:rPr>
      </w:pPr>
      <w:r>
        <w:rPr>
          <w:rFonts w:hint="eastAsia" w:ascii="宋体" w:hAnsi="宋体" w:eastAsia="宋体" w:cs="宋体"/>
          <w:bCs/>
          <w:kern w:val="0"/>
          <w:sz w:val="24"/>
          <w:szCs w:val="24"/>
        </w:rPr>
        <w:t>《GB/T 28448-2019 信息安全技术网络安全等级保护测评要求》</w:t>
      </w:r>
    </w:p>
    <w:p w14:paraId="3AC19541">
      <w:pPr>
        <w:widowControl/>
        <w:spacing w:line="480" w:lineRule="exact"/>
        <w:ind w:firstLine="480" w:firstLineChars="200"/>
        <w:jc w:val="left"/>
        <w:rPr>
          <w:rFonts w:ascii="宋体" w:hAnsi="宋体" w:eastAsia="宋体" w:cs="宋体"/>
          <w:bCs/>
          <w:kern w:val="0"/>
          <w:sz w:val="24"/>
          <w:szCs w:val="24"/>
        </w:rPr>
      </w:pPr>
      <w:r>
        <w:rPr>
          <w:rFonts w:hint="eastAsia" w:ascii="宋体" w:hAnsi="宋体" w:eastAsia="宋体" w:cs="宋体"/>
          <w:bCs/>
          <w:kern w:val="0"/>
          <w:sz w:val="24"/>
          <w:szCs w:val="24"/>
        </w:rPr>
        <w:t>《GB/T 28449-2018 信息安全技术网络安全等级保护测评过程指南》</w:t>
      </w:r>
    </w:p>
    <w:p w14:paraId="74CD80B6">
      <w:pPr>
        <w:widowControl/>
        <w:spacing w:line="480" w:lineRule="exact"/>
        <w:ind w:firstLine="480" w:firstLineChars="200"/>
        <w:jc w:val="left"/>
        <w:rPr>
          <w:rFonts w:ascii="宋体" w:hAnsi="宋体" w:eastAsia="宋体" w:cs="宋体"/>
          <w:bCs/>
          <w:kern w:val="0"/>
          <w:sz w:val="24"/>
          <w:szCs w:val="24"/>
        </w:rPr>
      </w:pPr>
      <w:r>
        <w:rPr>
          <w:rFonts w:hint="eastAsia" w:ascii="宋体" w:hAnsi="宋体" w:eastAsia="宋体" w:cs="宋体"/>
          <w:bCs/>
          <w:kern w:val="0"/>
          <w:sz w:val="24"/>
          <w:szCs w:val="24"/>
        </w:rPr>
        <w:t>《GB/T 25058-2019 信息安全技术网络安全等级保护实施指南》</w:t>
      </w:r>
    </w:p>
    <w:p w14:paraId="3A2C6B2C">
      <w:pPr>
        <w:widowControl/>
        <w:spacing w:line="480" w:lineRule="exact"/>
        <w:ind w:firstLine="480" w:firstLineChars="200"/>
        <w:jc w:val="left"/>
        <w:rPr>
          <w:rFonts w:ascii="宋体" w:hAnsi="宋体" w:eastAsia="宋体" w:cs="宋体"/>
          <w:bCs/>
          <w:kern w:val="0"/>
          <w:sz w:val="24"/>
          <w:szCs w:val="24"/>
        </w:rPr>
      </w:pPr>
      <w:r>
        <w:rPr>
          <w:rFonts w:hint="eastAsia" w:ascii="宋体" w:hAnsi="宋体" w:eastAsia="宋体" w:cs="宋体"/>
          <w:bCs/>
          <w:kern w:val="0"/>
          <w:sz w:val="24"/>
          <w:szCs w:val="24"/>
        </w:rPr>
        <w:t>《GB/T 36627-2018信息安全技术 网络安全等级保护测试评估技术指南》</w:t>
      </w:r>
    </w:p>
    <w:p w14:paraId="064EB805">
      <w:pPr>
        <w:widowControl/>
        <w:spacing w:line="480" w:lineRule="exact"/>
        <w:ind w:firstLine="480" w:firstLineChars="200"/>
        <w:jc w:val="left"/>
        <w:rPr>
          <w:rFonts w:ascii="宋体" w:hAnsi="宋体" w:eastAsia="宋体" w:cs="宋体"/>
          <w:bCs/>
          <w:kern w:val="0"/>
          <w:sz w:val="24"/>
          <w:szCs w:val="24"/>
        </w:rPr>
      </w:pPr>
      <w:r>
        <w:rPr>
          <w:rFonts w:hint="eastAsia" w:ascii="宋体" w:hAnsi="宋体" w:eastAsia="宋体" w:cs="宋体"/>
          <w:bCs/>
          <w:kern w:val="0"/>
          <w:sz w:val="24"/>
          <w:szCs w:val="24"/>
        </w:rPr>
        <w:t>《GB/T20270-2006信息安全技术 网络基础安全技术要求》</w:t>
      </w:r>
    </w:p>
    <w:p w14:paraId="4884F4BC">
      <w:pPr>
        <w:widowControl/>
        <w:spacing w:line="480" w:lineRule="exact"/>
        <w:ind w:firstLine="480" w:firstLineChars="200"/>
        <w:jc w:val="left"/>
        <w:rPr>
          <w:rFonts w:ascii="宋体" w:hAnsi="宋体" w:eastAsia="宋体" w:cs="宋体"/>
          <w:bCs/>
          <w:kern w:val="0"/>
          <w:sz w:val="24"/>
          <w:szCs w:val="24"/>
        </w:rPr>
      </w:pPr>
      <w:r>
        <w:rPr>
          <w:rFonts w:hint="eastAsia" w:ascii="宋体" w:hAnsi="宋体" w:eastAsia="宋体" w:cs="宋体"/>
          <w:bCs/>
          <w:kern w:val="0"/>
          <w:sz w:val="24"/>
          <w:szCs w:val="24"/>
        </w:rPr>
        <w:t>《GB/T20272-2006信息安全技术 操作系统安全技术要求》</w:t>
      </w:r>
    </w:p>
    <w:p w14:paraId="1EC59DA7">
      <w:pPr>
        <w:widowControl/>
        <w:spacing w:line="480" w:lineRule="exact"/>
        <w:ind w:firstLine="480" w:firstLineChars="200"/>
        <w:jc w:val="left"/>
        <w:rPr>
          <w:rFonts w:ascii="宋体" w:hAnsi="宋体" w:eastAsia="宋体" w:cs="宋体"/>
          <w:bCs/>
          <w:kern w:val="0"/>
          <w:sz w:val="24"/>
          <w:szCs w:val="24"/>
        </w:rPr>
      </w:pPr>
      <w:r>
        <w:rPr>
          <w:rFonts w:hint="eastAsia" w:ascii="宋体" w:hAnsi="宋体" w:eastAsia="宋体" w:cs="宋体"/>
          <w:bCs/>
          <w:kern w:val="0"/>
          <w:sz w:val="24"/>
          <w:szCs w:val="24"/>
        </w:rPr>
        <w:t>《GB/T20273-2006信息安全技术 数据库管理系统安全技术要求》</w:t>
      </w:r>
    </w:p>
    <w:p w14:paraId="4B66E657">
      <w:pPr>
        <w:widowControl/>
        <w:spacing w:line="480" w:lineRule="exact"/>
        <w:ind w:firstLine="480" w:firstLineChars="200"/>
        <w:jc w:val="left"/>
        <w:rPr>
          <w:rFonts w:ascii="宋体" w:hAnsi="宋体" w:eastAsia="宋体" w:cs="宋体"/>
          <w:bCs/>
          <w:kern w:val="0"/>
          <w:sz w:val="24"/>
          <w:szCs w:val="24"/>
        </w:rPr>
      </w:pPr>
      <w:r>
        <w:rPr>
          <w:rFonts w:hint="eastAsia" w:ascii="宋体" w:hAnsi="宋体" w:eastAsia="宋体" w:cs="宋体"/>
          <w:bCs/>
          <w:kern w:val="0"/>
          <w:sz w:val="24"/>
          <w:szCs w:val="24"/>
        </w:rPr>
        <w:t>《GB/T 20269—2006信息安全技术 信息系统安全管理要求》</w:t>
      </w:r>
    </w:p>
    <w:p w14:paraId="56367306">
      <w:pPr>
        <w:widowControl/>
        <w:spacing w:line="480" w:lineRule="exact"/>
        <w:ind w:firstLine="480" w:firstLineChars="200"/>
        <w:jc w:val="left"/>
        <w:rPr>
          <w:rFonts w:ascii="宋体" w:hAnsi="宋体" w:eastAsia="宋体" w:cs="宋体"/>
          <w:bCs/>
          <w:kern w:val="0"/>
          <w:sz w:val="24"/>
          <w:szCs w:val="24"/>
        </w:rPr>
      </w:pPr>
      <w:r>
        <w:rPr>
          <w:rFonts w:hint="eastAsia" w:ascii="宋体" w:hAnsi="宋体" w:eastAsia="宋体" w:cs="宋体"/>
          <w:bCs/>
          <w:kern w:val="0"/>
          <w:sz w:val="24"/>
          <w:szCs w:val="24"/>
        </w:rPr>
        <w:t>《GA/T 713-2007信息安全技术 信息系统安全管理测评》</w:t>
      </w:r>
    </w:p>
    <w:p w14:paraId="25720E3C">
      <w:pPr>
        <w:widowControl/>
        <w:spacing w:line="480" w:lineRule="exact"/>
        <w:ind w:firstLine="480" w:firstLineChars="200"/>
        <w:jc w:val="left"/>
        <w:rPr>
          <w:rFonts w:ascii="宋体" w:hAnsi="宋体" w:eastAsia="宋体" w:cs="宋体"/>
          <w:bCs/>
          <w:kern w:val="0"/>
          <w:sz w:val="24"/>
          <w:szCs w:val="24"/>
        </w:rPr>
      </w:pPr>
      <w:r>
        <w:rPr>
          <w:rFonts w:hint="eastAsia" w:ascii="宋体" w:hAnsi="宋体" w:eastAsia="宋体" w:cs="宋体"/>
          <w:bCs/>
          <w:kern w:val="0"/>
          <w:sz w:val="24"/>
          <w:szCs w:val="24"/>
        </w:rPr>
        <w:t>《GB/T22080-2008信息技术技术 信息安全管理体系要求》</w:t>
      </w:r>
    </w:p>
    <w:p w14:paraId="5CC9CD80">
      <w:pPr>
        <w:widowControl/>
        <w:spacing w:line="480" w:lineRule="exact"/>
        <w:ind w:firstLine="480" w:firstLineChars="200"/>
        <w:jc w:val="left"/>
        <w:rPr>
          <w:rFonts w:ascii="宋体" w:hAnsi="宋体" w:eastAsia="宋体" w:cs="宋体"/>
          <w:bCs/>
          <w:kern w:val="0"/>
          <w:sz w:val="24"/>
          <w:szCs w:val="24"/>
        </w:rPr>
      </w:pPr>
      <w:r>
        <w:rPr>
          <w:rFonts w:hint="eastAsia" w:ascii="宋体" w:hAnsi="宋体" w:eastAsia="宋体" w:cs="宋体"/>
          <w:bCs/>
          <w:kern w:val="0"/>
          <w:sz w:val="24"/>
          <w:szCs w:val="24"/>
        </w:rPr>
        <w:t>《GB/T 20984-2022信息安全技术 信息安全风险评估方法》</w:t>
      </w:r>
    </w:p>
    <w:p w14:paraId="60FC4AAF">
      <w:pPr>
        <w:widowControl/>
        <w:spacing w:line="480" w:lineRule="exact"/>
        <w:ind w:firstLine="480" w:firstLineChars="200"/>
        <w:jc w:val="left"/>
        <w:rPr>
          <w:rFonts w:ascii="宋体" w:hAnsi="宋体" w:eastAsia="宋体" w:cs="宋体"/>
          <w:bCs/>
          <w:kern w:val="0"/>
          <w:sz w:val="24"/>
          <w:szCs w:val="24"/>
        </w:rPr>
      </w:pPr>
      <w:r>
        <w:rPr>
          <w:rFonts w:hint="eastAsia" w:ascii="宋体" w:hAnsi="宋体" w:eastAsia="宋体" w:cs="宋体"/>
          <w:bCs/>
          <w:kern w:val="0"/>
          <w:sz w:val="24"/>
          <w:szCs w:val="24"/>
        </w:rPr>
        <w:t>《T/ISEAA 001-2020网络安全等级保护测评高风险判定指引》</w:t>
      </w:r>
    </w:p>
    <w:p w14:paraId="09D587F3">
      <w:pPr>
        <w:widowControl/>
        <w:spacing w:line="480" w:lineRule="exact"/>
        <w:ind w:firstLine="482" w:firstLineChars="200"/>
        <w:jc w:val="left"/>
        <w:rPr>
          <w:rFonts w:ascii="宋体" w:hAnsi="宋体" w:eastAsia="宋体" w:cs="宋体"/>
          <w:b/>
          <w:bCs/>
          <w:kern w:val="0"/>
          <w:sz w:val="24"/>
          <w:szCs w:val="24"/>
        </w:rPr>
      </w:pPr>
      <w:r>
        <w:rPr>
          <w:rFonts w:hint="eastAsia" w:ascii="宋体" w:hAnsi="宋体" w:eastAsia="宋体" w:cs="宋体"/>
          <w:b/>
          <w:bCs/>
          <w:kern w:val="0"/>
          <w:sz w:val="24"/>
          <w:szCs w:val="24"/>
        </w:rPr>
        <w:t>（四）采购标的需满足的质量、安全、技术规格、物理特性等要求;</w:t>
      </w:r>
    </w:p>
    <w:p w14:paraId="48B6469A">
      <w:pPr>
        <w:widowControl/>
        <w:spacing w:line="480" w:lineRule="exact"/>
        <w:ind w:firstLine="480" w:firstLineChars="200"/>
        <w:jc w:val="left"/>
        <w:rPr>
          <w:rFonts w:ascii="宋体" w:hAnsi="宋体" w:eastAsia="宋体" w:cs="宋体"/>
          <w:bCs/>
          <w:kern w:val="0"/>
          <w:sz w:val="24"/>
          <w:szCs w:val="24"/>
        </w:rPr>
      </w:pPr>
      <w:r>
        <w:rPr>
          <w:rFonts w:hint="eastAsia" w:ascii="宋体" w:hAnsi="宋体" w:eastAsia="宋体" w:cs="宋体"/>
          <w:bCs/>
          <w:kern w:val="0"/>
          <w:sz w:val="24"/>
          <w:szCs w:val="24"/>
        </w:rPr>
        <w:t>测评原则：</w:t>
      </w:r>
    </w:p>
    <w:p w14:paraId="7C342DBE">
      <w:pPr>
        <w:widowControl/>
        <w:spacing w:line="480" w:lineRule="exact"/>
        <w:ind w:firstLine="480" w:firstLineChars="200"/>
        <w:jc w:val="left"/>
        <w:rPr>
          <w:rFonts w:ascii="宋体" w:hAnsi="宋体" w:eastAsia="宋体" w:cs="宋体"/>
          <w:bCs/>
          <w:kern w:val="0"/>
          <w:sz w:val="24"/>
          <w:szCs w:val="24"/>
        </w:rPr>
      </w:pPr>
      <w:r>
        <w:rPr>
          <w:rFonts w:hint="eastAsia" w:ascii="宋体" w:hAnsi="宋体" w:eastAsia="宋体" w:cs="宋体"/>
          <w:bCs/>
          <w:kern w:val="0"/>
          <w:sz w:val="24"/>
          <w:szCs w:val="24"/>
        </w:rPr>
        <w:t>1、客观性和公正性原则：</w:t>
      </w:r>
    </w:p>
    <w:p w14:paraId="04744633">
      <w:pPr>
        <w:widowControl/>
        <w:spacing w:line="480" w:lineRule="exact"/>
        <w:ind w:firstLine="480" w:firstLineChars="200"/>
        <w:jc w:val="left"/>
        <w:rPr>
          <w:rFonts w:ascii="宋体" w:hAnsi="宋体" w:eastAsia="宋体" w:cs="宋体"/>
          <w:bCs/>
          <w:kern w:val="0"/>
          <w:sz w:val="24"/>
          <w:szCs w:val="24"/>
        </w:rPr>
      </w:pPr>
      <w:r>
        <w:rPr>
          <w:rFonts w:hint="eastAsia" w:ascii="宋体" w:hAnsi="宋体" w:eastAsia="宋体" w:cs="宋体"/>
          <w:bCs/>
          <w:kern w:val="0"/>
          <w:sz w:val="24"/>
          <w:szCs w:val="24"/>
        </w:rPr>
        <w:t>测评人员应当没有偏见，在最小主观判断情形下，按照评估双方相互认可的评估方案，基于明确定义的测评方式和解释，实施评估活动。</w:t>
      </w:r>
    </w:p>
    <w:p w14:paraId="43B47AD5">
      <w:pPr>
        <w:widowControl/>
        <w:spacing w:line="480" w:lineRule="exact"/>
        <w:ind w:firstLine="480" w:firstLineChars="200"/>
        <w:jc w:val="left"/>
        <w:rPr>
          <w:rFonts w:ascii="宋体" w:hAnsi="宋体" w:eastAsia="宋体" w:cs="宋体"/>
          <w:bCs/>
          <w:kern w:val="0"/>
          <w:sz w:val="24"/>
          <w:szCs w:val="24"/>
        </w:rPr>
      </w:pPr>
      <w:r>
        <w:rPr>
          <w:rFonts w:hint="eastAsia" w:ascii="宋体" w:hAnsi="宋体" w:eastAsia="宋体" w:cs="宋体"/>
          <w:bCs/>
          <w:kern w:val="0"/>
          <w:sz w:val="24"/>
          <w:szCs w:val="24"/>
        </w:rPr>
        <w:t>2、可重复性和可再现性原则：</w:t>
      </w:r>
    </w:p>
    <w:p w14:paraId="0F0510A6">
      <w:pPr>
        <w:widowControl/>
        <w:spacing w:line="480" w:lineRule="exact"/>
        <w:ind w:firstLine="480" w:firstLineChars="200"/>
        <w:jc w:val="left"/>
        <w:rPr>
          <w:rFonts w:ascii="宋体" w:hAnsi="宋体" w:eastAsia="宋体" w:cs="宋体"/>
          <w:bCs/>
          <w:kern w:val="0"/>
          <w:sz w:val="24"/>
          <w:szCs w:val="24"/>
        </w:rPr>
      </w:pPr>
      <w:r>
        <w:rPr>
          <w:rFonts w:hint="eastAsia" w:ascii="宋体" w:hAnsi="宋体" w:eastAsia="宋体" w:cs="宋体"/>
          <w:bCs/>
          <w:kern w:val="0"/>
          <w:sz w:val="24"/>
          <w:szCs w:val="24"/>
        </w:rPr>
        <w:t>依照同样的要求，使用同样的评估方式，对每个评估实施过程的重复执行应该得到同样的结果。可再现性和可重复性的区别在于，前者与不同评估者评估结果的一致性有关，后者与同一评估者评估结果的一致性有关。</w:t>
      </w:r>
    </w:p>
    <w:p w14:paraId="5021CB4B">
      <w:pPr>
        <w:widowControl/>
        <w:spacing w:line="480" w:lineRule="exact"/>
        <w:ind w:firstLine="480" w:firstLineChars="200"/>
        <w:jc w:val="left"/>
        <w:rPr>
          <w:rFonts w:ascii="宋体" w:hAnsi="宋体" w:eastAsia="宋体" w:cs="宋体"/>
          <w:bCs/>
          <w:kern w:val="0"/>
          <w:sz w:val="24"/>
          <w:szCs w:val="24"/>
        </w:rPr>
      </w:pPr>
      <w:r>
        <w:rPr>
          <w:rFonts w:hint="eastAsia" w:ascii="宋体" w:hAnsi="宋体" w:eastAsia="宋体" w:cs="宋体"/>
          <w:bCs/>
          <w:kern w:val="0"/>
          <w:sz w:val="24"/>
          <w:szCs w:val="24"/>
        </w:rPr>
        <w:t>3、连续性原则：</w:t>
      </w:r>
    </w:p>
    <w:p w14:paraId="656ABE0E">
      <w:pPr>
        <w:widowControl/>
        <w:spacing w:line="480" w:lineRule="exact"/>
        <w:ind w:firstLine="480" w:firstLineChars="200"/>
        <w:jc w:val="left"/>
        <w:rPr>
          <w:rFonts w:ascii="宋体" w:hAnsi="宋体" w:eastAsia="宋体" w:cs="宋体"/>
          <w:bCs/>
          <w:kern w:val="0"/>
          <w:sz w:val="24"/>
          <w:szCs w:val="24"/>
        </w:rPr>
      </w:pPr>
      <w:r>
        <w:rPr>
          <w:rFonts w:hint="eastAsia" w:ascii="宋体" w:hAnsi="宋体" w:eastAsia="宋体" w:cs="宋体"/>
          <w:bCs/>
          <w:kern w:val="0"/>
          <w:sz w:val="24"/>
          <w:szCs w:val="24"/>
        </w:rPr>
        <w:t>确保在高速变化的信息安全环境中，在有效的服务期间内，保证采购方风险评估结论的准确性和及时性，对于采购方单位新增设的信息资产和服务，或新建立的信息化项目，进行局部系统的重新评估。从经济上，降低了采购方单位的成本，从信息安全性上，保证信息安全测评的动态稳定性。</w:t>
      </w:r>
    </w:p>
    <w:p w14:paraId="23DB8737">
      <w:pPr>
        <w:widowControl/>
        <w:spacing w:line="480" w:lineRule="exact"/>
        <w:ind w:firstLine="480" w:firstLineChars="200"/>
        <w:jc w:val="left"/>
        <w:rPr>
          <w:rFonts w:ascii="宋体" w:hAnsi="宋体" w:eastAsia="宋体" w:cs="宋体"/>
          <w:bCs/>
          <w:kern w:val="0"/>
          <w:sz w:val="24"/>
          <w:szCs w:val="24"/>
        </w:rPr>
      </w:pPr>
      <w:r>
        <w:rPr>
          <w:rFonts w:hint="eastAsia" w:ascii="宋体" w:hAnsi="宋体" w:eastAsia="宋体" w:cs="宋体"/>
          <w:bCs/>
          <w:kern w:val="0"/>
          <w:sz w:val="24"/>
          <w:szCs w:val="24"/>
        </w:rPr>
        <w:t>4、扩展性原则：</w:t>
      </w:r>
    </w:p>
    <w:p w14:paraId="223F0920">
      <w:pPr>
        <w:widowControl/>
        <w:spacing w:line="480" w:lineRule="exact"/>
        <w:ind w:firstLine="480" w:firstLineChars="200"/>
        <w:jc w:val="left"/>
        <w:rPr>
          <w:rFonts w:ascii="宋体" w:hAnsi="宋体" w:eastAsia="宋体" w:cs="宋体"/>
          <w:bCs/>
          <w:kern w:val="0"/>
          <w:sz w:val="24"/>
          <w:szCs w:val="24"/>
        </w:rPr>
      </w:pPr>
      <w:r>
        <w:rPr>
          <w:rFonts w:hint="eastAsia" w:ascii="宋体" w:hAnsi="宋体" w:eastAsia="宋体" w:cs="宋体"/>
          <w:bCs/>
          <w:kern w:val="0"/>
          <w:sz w:val="24"/>
          <w:szCs w:val="24"/>
        </w:rPr>
        <w:t>在评估过程结束后，信息安全测评过程要保持扩展性，从扩展的属性上进一步加强测评结束后采购方的安全管理有效性和可用性。</w:t>
      </w:r>
    </w:p>
    <w:p w14:paraId="3C2DF0E8">
      <w:pPr>
        <w:widowControl/>
        <w:spacing w:line="480" w:lineRule="exact"/>
        <w:ind w:firstLine="480" w:firstLineChars="200"/>
        <w:jc w:val="left"/>
        <w:rPr>
          <w:rFonts w:ascii="宋体" w:hAnsi="宋体" w:eastAsia="宋体" w:cs="宋体"/>
          <w:bCs/>
          <w:kern w:val="0"/>
          <w:sz w:val="24"/>
          <w:szCs w:val="24"/>
        </w:rPr>
      </w:pPr>
      <w:r>
        <w:rPr>
          <w:rFonts w:hint="eastAsia" w:ascii="宋体" w:hAnsi="宋体" w:eastAsia="宋体" w:cs="宋体"/>
          <w:bCs/>
          <w:kern w:val="0"/>
          <w:sz w:val="24"/>
          <w:szCs w:val="24"/>
        </w:rPr>
        <w:t>5、保密原则：</w:t>
      </w:r>
    </w:p>
    <w:p w14:paraId="679311D7">
      <w:pPr>
        <w:widowControl/>
        <w:spacing w:line="480" w:lineRule="exact"/>
        <w:ind w:firstLine="480" w:firstLineChars="200"/>
        <w:jc w:val="left"/>
        <w:rPr>
          <w:rFonts w:ascii="宋体" w:hAnsi="宋体" w:eastAsia="宋体" w:cs="宋体"/>
          <w:bCs/>
          <w:kern w:val="0"/>
          <w:sz w:val="24"/>
          <w:szCs w:val="24"/>
        </w:rPr>
      </w:pPr>
      <w:r>
        <w:rPr>
          <w:rFonts w:hint="eastAsia" w:ascii="宋体" w:hAnsi="宋体" w:eastAsia="宋体" w:cs="宋体"/>
          <w:bCs/>
          <w:kern w:val="0"/>
          <w:sz w:val="24"/>
          <w:szCs w:val="24"/>
        </w:rPr>
        <w:t>在测评过程中，需严格遵循保密原则，双方签订保密协议，对服务过程中涉及到的任何用户信息未经允许不向其他任何第三方泄漏，以及不得利用这些信息损害采购方利益。</w:t>
      </w:r>
    </w:p>
    <w:p w14:paraId="1F1E525B">
      <w:pPr>
        <w:widowControl/>
        <w:spacing w:line="480" w:lineRule="exact"/>
        <w:ind w:firstLine="480" w:firstLineChars="200"/>
        <w:jc w:val="left"/>
        <w:rPr>
          <w:rFonts w:ascii="宋体" w:hAnsi="宋体" w:eastAsia="宋体" w:cs="宋体"/>
          <w:bCs/>
          <w:kern w:val="0"/>
          <w:sz w:val="24"/>
          <w:szCs w:val="24"/>
        </w:rPr>
      </w:pPr>
      <w:r>
        <w:rPr>
          <w:rFonts w:hint="eastAsia" w:ascii="宋体" w:hAnsi="宋体" w:eastAsia="宋体" w:cs="宋体"/>
          <w:bCs/>
          <w:kern w:val="0"/>
          <w:sz w:val="24"/>
          <w:szCs w:val="24"/>
        </w:rPr>
        <w:t>6、互动原则：</w:t>
      </w:r>
    </w:p>
    <w:p w14:paraId="6DD9BB94">
      <w:pPr>
        <w:widowControl/>
        <w:spacing w:line="480" w:lineRule="exact"/>
        <w:ind w:firstLine="480" w:firstLineChars="200"/>
        <w:jc w:val="left"/>
        <w:rPr>
          <w:rFonts w:ascii="宋体" w:hAnsi="宋体" w:eastAsia="宋体" w:cs="宋体"/>
          <w:bCs/>
          <w:kern w:val="0"/>
          <w:sz w:val="24"/>
          <w:szCs w:val="24"/>
        </w:rPr>
      </w:pPr>
      <w:r>
        <w:rPr>
          <w:rFonts w:hint="eastAsia" w:ascii="宋体" w:hAnsi="宋体" w:eastAsia="宋体" w:cs="宋体"/>
          <w:bCs/>
          <w:kern w:val="0"/>
          <w:sz w:val="24"/>
          <w:szCs w:val="24"/>
        </w:rPr>
        <w:t>在整个测评过程中，强调采购方的互动参与，每个阶段都能够及时根据采购方的要求和实际情况对测评的内容、方式做出相关调整，进而更好的进行风险评估工作。</w:t>
      </w:r>
    </w:p>
    <w:p w14:paraId="5327CD8D">
      <w:pPr>
        <w:widowControl/>
        <w:spacing w:line="480" w:lineRule="exact"/>
        <w:ind w:firstLine="480" w:firstLineChars="200"/>
        <w:jc w:val="left"/>
        <w:rPr>
          <w:rFonts w:ascii="宋体" w:hAnsi="宋体" w:eastAsia="宋体" w:cs="宋体"/>
          <w:bCs/>
          <w:kern w:val="0"/>
          <w:sz w:val="24"/>
          <w:szCs w:val="24"/>
        </w:rPr>
      </w:pPr>
      <w:r>
        <w:rPr>
          <w:rFonts w:hint="eastAsia" w:ascii="宋体" w:hAnsi="宋体" w:eastAsia="宋体" w:cs="宋体"/>
          <w:bCs/>
          <w:kern w:val="0"/>
          <w:sz w:val="24"/>
          <w:szCs w:val="24"/>
        </w:rPr>
        <w:t>7、最小影响原则：</w:t>
      </w:r>
    </w:p>
    <w:p w14:paraId="449CFA51">
      <w:pPr>
        <w:widowControl/>
        <w:spacing w:line="480" w:lineRule="exact"/>
        <w:ind w:firstLine="480" w:firstLineChars="200"/>
        <w:jc w:val="left"/>
        <w:rPr>
          <w:rFonts w:ascii="宋体" w:hAnsi="宋体" w:eastAsia="宋体" w:cs="宋体"/>
          <w:bCs/>
          <w:kern w:val="0"/>
          <w:sz w:val="24"/>
          <w:szCs w:val="24"/>
        </w:rPr>
      </w:pPr>
      <w:r>
        <w:rPr>
          <w:rFonts w:hint="eastAsia" w:ascii="宋体" w:hAnsi="宋体" w:eastAsia="宋体" w:cs="宋体"/>
          <w:bCs/>
          <w:kern w:val="0"/>
          <w:sz w:val="24"/>
          <w:szCs w:val="24"/>
        </w:rPr>
        <w:t>测评工作应该尽可能小地影响系统和网络的正常运行，不能对业务的正常运行产生明显的影响（包括系统性能明显下降、网络阻塞、服务中断等），如无法避免，则应做出说明。</w:t>
      </w:r>
    </w:p>
    <w:p w14:paraId="75805715">
      <w:pPr>
        <w:widowControl/>
        <w:spacing w:line="480" w:lineRule="exact"/>
        <w:ind w:firstLine="480" w:firstLineChars="200"/>
        <w:jc w:val="left"/>
        <w:rPr>
          <w:rFonts w:ascii="宋体" w:hAnsi="宋体" w:eastAsia="宋体" w:cs="宋体"/>
          <w:bCs/>
          <w:kern w:val="0"/>
          <w:sz w:val="24"/>
          <w:szCs w:val="24"/>
        </w:rPr>
      </w:pPr>
      <w:r>
        <w:rPr>
          <w:rFonts w:hint="eastAsia" w:ascii="宋体" w:hAnsi="宋体" w:eastAsia="宋体" w:cs="宋体"/>
          <w:bCs/>
          <w:kern w:val="0"/>
          <w:sz w:val="24"/>
          <w:szCs w:val="24"/>
        </w:rPr>
        <w:t>8、规范性原则：</w:t>
      </w:r>
    </w:p>
    <w:p w14:paraId="22E409FB">
      <w:pPr>
        <w:widowControl/>
        <w:spacing w:line="480" w:lineRule="exact"/>
        <w:ind w:firstLine="480" w:firstLineChars="200"/>
        <w:jc w:val="left"/>
        <w:rPr>
          <w:rFonts w:ascii="宋体" w:hAnsi="宋体" w:eastAsia="宋体" w:cs="宋体"/>
          <w:bCs/>
          <w:kern w:val="0"/>
          <w:sz w:val="24"/>
          <w:szCs w:val="24"/>
        </w:rPr>
      </w:pPr>
      <w:r>
        <w:rPr>
          <w:rFonts w:hint="eastAsia" w:ascii="宋体" w:hAnsi="宋体" w:eastAsia="宋体" w:cs="宋体"/>
          <w:bCs/>
          <w:kern w:val="0"/>
          <w:sz w:val="24"/>
          <w:szCs w:val="24"/>
        </w:rPr>
        <w:t>网络安全等级保护测评服务的实施必须由专业的测评服务人员依照规范的操作流程进行，对操作过程和结果要有相应的记录，并提供完整的服务报告。</w:t>
      </w:r>
    </w:p>
    <w:p w14:paraId="3685ACB4">
      <w:pPr>
        <w:widowControl/>
        <w:spacing w:line="480" w:lineRule="exact"/>
        <w:ind w:firstLine="480" w:firstLineChars="200"/>
        <w:jc w:val="left"/>
        <w:rPr>
          <w:rFonts w:ascii="宋体" w:hAnsi="宋体" w:eastAsia="宋体" w:cs="宋体"/>
          <w:bCs/>
          <w:kern w:val="0"/>
          <w:sz w:val="24"/>
          <w:szCs w:val="24"/>
        </w:rPr>
      </w:pPr>
      <w:r>
        <w:rPr>
          <w:rFonts w:hint="eastAsia" w:ascii="宋体" w:hAnsi="宋体" w:eastAsia="宋体" w:cs="宋体"/>
          <w:bCs/>
          <w:kern w:val="0"/>
          <w:sz w:val="24"/>
          <w:szCs w:val="24"/>
        </w:rPr>
        <w:t>9、质量保障原则：</w:t>
      </w:r>
    </w:p>
    <w:p w14:paraId="00F05E9B">
      <w:pPr>
        <w:widowControl/>
        <w:spacing w:line="480" w:lineRule="exact"/>
        <w:ind w:firstLine="480" w:firstLineChars="200"/>
        <w:jc w:val="left"/>
        <w:rPr>
          <w:rFonts w:ascii="宋体" w:hAnsi="宋体" w:eastAsia="宋体" w:cs="宋体"/>
          <w:bCs/>
          <w:kern w:val="0"/>
          <w:sz w:val="24"/>
          <w:szCs w:val="24"/>
        </w:rPr>
      </w:pPr>
      <w:r>
        <w:rPr>
          <w:rFonts w:hint="eastAsia" w:ascii="宋体" w:hAnsi="宋体" w:eastAsia="宋体" w:cs="宋体"/>
          <w:bCs/>
          <w:kern w:val="0"/>
          <w:sz w:val="24"/>
          <w:szCs w:val="24"/>
        </w:rPr>
        <w:t>在整个测评过程中，须特别重视项目质量管理。项目的实施将严格按照项目实施方案和流程进行，并由项目协调小组从中监督，控制项目的进度和质量。</w:t>
      </w:r>
    </w:p>
    <w:p w14:paraId="4512A18A">
      <w:pPr>
        <w:widowControl/>
        <w:spacing w:line="480" w:lineRule="exact"/>
        <w:ind w:firstLine="482" w:firstLineChars="200"/>
        <w:jc w:val="left"/>
        <w:rPr>
          <w:rFonts w:ascii="宋体" w:hAnsi="宋体" w:eastAsia="宋体" w:cs="宋体"/>
          <w:b/>
          <w:bCs/>
          <w:kern w:val="0"/>
          <w:sz w:val="24"/>
          <w:szCs w:val="24"/>
        </w:rPr>
      </w:pPr>
      <w:r>
        <w:rPr>
          <w:rFonts w:hint="eastAsia" w:ascii="宋体" w:hAnsi="宋体" w:eastAsia="宋体" w:cs="宋体"/>
          <w:b/>
          <w:bCs/>
          <w:kern w:val="0"/>
          <w:sz w:val="24"/>
          <w:szCs w:val="24"/>
        </w:rPr>
        <w:t>（五）采购标的的数量、采购项目交付或者实施的时间和地点；</w:t>
      </w:r>
    </w:p>
    <w:p w14:paraId="6662C758">
      <w:pPr>
        <w:widowControl/>
        <w:spacing w:line="480" w:lineRule="exact"/>
        <w:ind w:firstLine="480" w:firstLineChars="200"/>
        <w:jc w:val="left"/>
        <w:rPr>
          <w:rFonts w:ascii="宋体" w:hAnsi="宋体" w:eastAsia="宋体" w:cs="宋体"/>
          <w:bCs/>
          <w:kern w:val="0"/>
          <w:sz w:val="24"/>
          <w:szCs w:val="24"/>
        </w:rPr>
      </w:pPr>
      <w:r>
        <w:rPr>
          <w:rFonts w:hint="eastAsia" w:ascii="宋体" w:hAnsi="宋体" w:eastAsia="宋体" w:cs="宋体"/>
          <w:bCs/>
          <w:kern w:val="0"/>
          <w:sz w:val="24"/>
          <w:szCs w:val="24"/>
        </w:rPr>
        <w:t>2个三级等保系统，以通过公安备案的数量为准。供应商须根据被测信息的安全保护等级，完成网络安全等级保护现状分析、安全建设整改支持、网络安全等级保护测评、增值服务四个方面的服务内容。</w:t>
      </w:r>
    </w:p>
    <w:p w14:paraId="58006339">
      <w:pPr>
        <w:widowControl/>
        <w:spacing w:line="480" w:lineRule="exact"/>
        <w:ind w:firstLine="480" w:firstLineChars="200"/>
        <w:jc w:val="left"/>
        <w:rPr>
          <w:rFonts w:ascii="宋体" w:hAnsi="宋体" w:eastAsia="宋体" w:cs="宋体"/>
          <w:bCs/>
          <w:kern w:val="0"/>
          <w:sz w:val="24"/>
          <w:szCs w:val="24"/>
        </w:rPr>
      </w:pPr>
      <w:r>
        <w:rPr>
          <w:rFonts w:hint="eastAsia" w:ascii="宋体" w:hAnsi="宋体" w:eastAsia="宋体" w:cs="宋体"/>
          <w:bCs/>
          <w:kern w:val="0"/>
          <w:sz w:val="24"/>
          <w:szCs w:val="24"/>
        </w:rPr>
        <w:t>测评时间要求：按照被测单位要求，合同签订完毕一周内启动测评工作。</w:t>
      </w:r>
    </w:p>
    <w:p w14:paraId="166C8307">
      <w:pPr>
        <w:widowControl/>
        <w:spacing w:line="480" w:lineRule="exact"/>
        <w:ind w:firstLine="480" w:firstLineChars="200"/>
        <w:jc w:val="left"/>
        <w:rPr>
          <w:rFonts w:ascii="宋体" w:hAnsi="宋体" w:eastAsia="宋体" w:cs="宋体"/>
          <w:bCs/>
          <w:kern w:val="0"/>
          <w:sz w:val="24"/>
          <w:szCs w:val="24"/>
        </w:rPr>
      </w:pPr>
      <w:r>
        <w:rPr>
          <w:rFonts w:hint="eastAsia" w:ascii="宋体" w:hAnsi="宋体" w:eastAsia="宋体" w:cs="宋体"/>
          <w:bCs/>
          <w:kern w:val="0"/>
          <w:sz w:val="24"/>
          <w:szCs w:val="24"/>
        </w:rPr>
        <w:t>测评期限要求：签订合同后30日内完成网络安全等级保护测评及出具盖章报告，并完成备案。</w:t>
      </w:r>
    </w:p>
    <w:p w14:paraId="1421F2AE">
      <w:pPr>
        <w:widowControl/>
        <w:spacing w:line="480" w:lineRule="exact"/>
        <w:ind w:firstLine="480" w:firstLineChars="200"/>
        <w:jc w:val="left"/>
        <w:rPr>
          <w:rFonts w:ascii="宋体" w:hAnsi="宋体" w:eastAsia="宋体" w:cs="宋体"/>
          <w:bCs/>
          <w:kern w:val="0"/>
          <w:sz w:val="24"/>
          <w:szCs w:val="24"/>
        </w:rPr>
      </w:pPr>
      <w:r>
        <w:rPr>
          <w:rFonts w:hint="eastAsia" w:ascii="宋体" w:hAnsi="宋体" w:eastAsia="宋体" w:cs="宋体"/>
          <w:bCs/>
          <w:kern w:val="0"/>
          <w:sz w:val="24"/>
          <w:szCs w:val="24"/>
        </w:rPr>
        <w:t>服务地点：采购方指定地点。</w:t>
      </w:r>
    </w:p>
    <w:p w14:paraId="70DF633A">
      <w:pPr>
        <w:widowControl/>
        <w:spacing w:line="480" w:lineRule="exact"/>
        <w:ind w:firstLine="482" w:firstLineChars="200"/>
        <w:jc w:val="left"/>
        <w:rPr>
          <w:rFonts w:ascii="宋体" w:hAnsi="宋体" w:eastAsia="宋体" w:cs="宋体"/>
          <w:b/>
          <w:bCs/>
          <w:kern w:val="0"/>
          <w:sz w:val="24"/>
          <w:szCs w:val="24"/>
        </w:rPr>
      </w:pPr>
      <w:r>
        <w:rPr>
          <w:rFonts w:hint="eastAsia" w:ascii="宋体" w:hAnsi="宋体" w:eastAsia="宋体" w:cs="宋体"/>
          <w:b/>
          <w:bCs/>
          <w:kern w:val="0"/>
          <w:sz w:val="24"/>
          <w:szCs w:val="24"/>
        </w:rPr>
        <w:t>（六）采购标的需满足的服务标准、效率等要求;</w:t>
      </w:r>
    </w:p>
    <w:p w14:paraId="08CB91F1">
      <w:pPr>
        <w:widowControl/>
        <w:spacing w:line="480" w:lineRule="exact"/>
        <w:ind w:firstLine="480" w:firstLineChars="200"/>
        <w:jc w:val="left"/>
        <w:rPr>
          <w:rFonts w:ascii="宋体" w:hAnsi="宋体" w:eastAsia="宋体" w:cs="宋体"/>
          <w:bCs/>
          <w:kern w:val="0"/>
          <w:sz w:val="24"/>
          <w:szCs w:val="24"/>
        </w:rPr>
      </w:pPr>
      <w:r>
        <w:rPr>
          <w:rFonts w:hint="eastAsia" w:ascii="宋体" w:hAnsi="宋体" w:eastAsia="宋体" w:cs="宋体"/>
          <w:bCs/>
          <w:kern w:val="0"/>
          <w:sz w:val="24"/>
          <w:szCs w:val="24"/>
        </w:rPr>
        <w:t>1、总体要求：</w:t>
      </w:r>
    </w:p>
    <w:p w14:paraId="4F9A1076">
      <w:pPr>
        <w:widowControl/>
        <w:spacing w:line="480" w:lineRule="exact"/>
        <w:ind w:firstLine="480" w:firstLineChars="200"/>
        <w:jc w:val="left"/>
        <w:rPr>
          <w:rFonts w:ascii="宋体" w:hAnsi="宋体" w:eastAsia="宋体" w:cs="宋体"/>
          <w:bCs/>
          <w:kern w:val="0"/>
          <w:sz w:val="24"/>
          <w:szCs w:val="24"/>
        </w:rPr>
      </w:pPr>
      <w:r>
        <w:rPr>
          <w:rFonts w:hint="eastAsia" w:ascii="宋体" w:hAnsi="宋体" w:eastAsia="宋体" w:cs="宋体"/>
          <w:bCs/>
          <w:kern w:val="0"/>
          <w:sz w:val="24"/>
          <w:szCs w:val="24"/>
        </w:rPr>
        <w:t>（1）完成上述系统安全等级测评工作，测评后经用户方确认，出具符合网络安全等级保护测评要求的测评报告；</w:t>
      </w:r>
    </w:p>
    <w:p w14:paraId="67AF0FBD">
      <w:pPr>
        <w:widowControl/>
        <w:spacing w:line="480" w:lineRule="exact"/>
        <w:ind w:firstLine="480" w:firstLineChars="200"/>
        <w:jc w:val="left"/>
        <w:rPr>
          <w:rFonts w:ascii="宋体" w:hAnsi="宋体" w:eastAsia="宋体" w:cs="宋体"/>
          <w:bCs/>
          <w:kern w:val="0"/>
          <w:sz w:val="24"/>
          <w:szCs w:val="24"/>
        </w:rPr>
      </w:pPr>
      <w:r>
        <w:rPr>
          <w:rFonts w:hint="eastAsia" w:ascii="宋体" w:hAnsi="宋体" w:eastAsia="宋体" w:cs="宋体"/>
          <w:bCs/>
          <w:kern w:val="0"/>
          <w:sz w:val="24"/>
          <w:szCs w:val="24"/>
        </w:rPr>
        <w:t>（2）对上述系统不符合网络安全等级保护有关管理规范和技术标准的，提出可行性整改方案，提供相应的安全整改建议书。</w:t>
      </w:r>
    </w:p>
    <w:p w14:paraId="02641CA2">
      <w:pPr>
        <w:widowControl/>
        <w:spacing w:line="480" w:lineRule="exact"/>
        <w:ind w:firstLine="480" w:firstLineChars="200"/>
        <w:jc w:val="left"/>
        <w:rPr>
          <w:rFonts w:ascii="宋体" w:hAnsi="宋体" w:eastAsia="宋体" w:cs="宋体"/>
          <w:bCs/>
          <w:kern w:val="0"/>
          <w:sz w:val="24"/>
          <w:szCs w:val="24"/>
        </w:rPr>
      </w:pPr>
      <w:r>
        <w:rPr>
          <w:rFonts w:hint="eastAsia" w:ascii="宋体" w:hAnsi="宋体" w:eastAsia="宋体" w:cs="宋体"/>
          <w:bCs/>
          <w:kern w:val="0"/>
          <w:sz w:val="24"/>
          <w:szCs w:val="24"/>
        </w:rPr>
        <w:t>2、网络安全等级保护测评内容：</w:t>
      </w:r>
    </w:p>
    <w:p w14:paraId="0BDF41FA">
      <w:pPr>
        <w:widowControl/>
        <w:spacing w:line="480" w:lineRule="exact"/>
        <w:ind w:firstLine="480" w:firstLineChars="200"/>
        <w:jc w:val="left"/>
        <w:rPr>
          <w:rFonts w:ascii="宋体" w:hAnsi="宋体" w:eastAsia="宋体" w:cs="宋体"/>
          <w:bCs/>
          <w:kern w:val="0"/>
          <w:sz w:val="24"/>
          <w:szCs w:val="24"/>
        </w:rPr>
      </w:pPr>
      <w:r>
        <w:rPr>
          <w:rFonts w:hint="eastAsia" w:ascii="宋体" w:hAnsi="宋体" w:eastAsia="宋体" w:cs="宋体"/>
          <w:bCs/>
          <w:kern w:val="0"/>
          <w:sz w:val="24"/>
          <w:szCs w:val="24"/>
        </w:rPr>
        <w:t>（1）安全技术测评：包括安全物理环境、安全区域边界、安全通信网络、安全计算环境和安全管理中心五个方面的安全测评；</w:t>
      </w:r>
    </w:p>
    <w:p w14:paraId="63372A44">
      <w:pPr>
        <w:widowControl/>
        <w:spacing w:line="480" w:lineRule="exact"/>
        <w:ind w:firstLine="480" w:firstLineChars="200"/>
        <w:jc w:val="left"/>
        <w:rPr>
          <w:rFonts w:ascii="宋体" w:hAnsi="宋体" w:eastAsia="宋体" w:cs="宋体"/>
          <w:bCs/>
          <w:kern w:val="0"/>
          <w:sz w:val="24"/>
          <w:szCs w:val="24"/>
        </w:rPr>
      </w:pPr>
      <w:r>
        <w:rPr>
          <w:rFonts w:hint="eastAsia" w:ascii="宋体" w:hAnsi="宋体" w:eastAsia="宋体" w:cs="宋体"/>
          <w:bCs/>
          <w:kern w:val="0"/>
          <w:sz w:val="24"/>
          <w:szCs w:val="24"/>
        </w:rPr>
        <w:t>（2）安全管理测评：安全管理机构、安全管理制度、安全管理人员、安全建设管理和安全运维管理五个方面的安全控制测评</w:t>
      </w:r>
    </w:p>
    <w:p w14:paraId="4F5BE290">
      <w:pPr>
        <w:widowControl/>
        <w:spacing w:line="480" w:lineRule="exact"/>
        <w:ind w:firstLine="480" w:firstLineChars="200"/>
        <w:jc w:val="left"/>
        <w:rPr>
          <w:rFonts w:ascii="宋体" w:hAnsi="宋体" w:eastAsia="宋体" w:cs="宋体"/>
          <w:bCs/>
          <w:kern w:val="0"/>
          <w:sz w:val="24"/>
          <w:szCs w:val="24"/>
        </w:rPr>
      </w:pPr>
      <w:r>
        <w:rPr>
          <w:rFonts w:hint="eastAsia" w:ascii="宋体" w:hAnsi="宋体" w:eastAsia="宋体" w:cs="宋体"/>
          <w:bCs/>
          <w:kern w:val="0"/>
          <w:sz w:val="24"/>
          <w:szCs w:val="24"/>
        </w:rPr>
        <w:t>3、提供整改咨询服务，根据所测系统的最终测评报告，对系统现状提出安全整改建议并协助整改工作，以期达到整改目的。</w:t>
      </w:r>
    </w:p>
    <w:p w14:paraId="34006D3D">
      <w:pPr>
        <w:widowControl/>
        <w:spacing w:line="480" w:lineRule="exact"/>
        <w:ind w:firstLine="480" w:firstLineChars="200"/>
        <w:jc w:val="left"/>
        <w:rPr>
          <w:rFonts w:ascii="宋体" w:hAnsi="宋体" w:eastAsia="宋体" w:cs="宋体"/>
          <w:bCs/>
          <w:kern w:val="0"/>
          <w:sz w:val="24"/>
          <w:szCs w:val="24"/>
        </w:rPr>
      </w:pPr>
      <w:r>
        <w:rPr>
          <w:rFonts w:hint="eastAsia" w:ascii="宋体" w:hAnsi="宋体" w:eastAsia="宋体" w:cs="宋体"/>
          <w:bCs/>
          <w:kern w:val="0"/>
          <w:sz w:val="24"/>
          <w:szCs w:val="24"/>
        </w:rPr>
        <w:t>4、增值服务</w:t>
      </w:r>
    </w:p>
    <w:p w14:paraId="5DE57FFB">
      <w:pPr>
        <w:widowControl/>
        <w:spacing w:line="480" w:lineRule="exact"/>
        <w:ind w:firstLine="480" w:firstLineChars="200"/>
        <w:jc w:val="left"/>
        <w:rPr>
          <w:rFonts w:ascii="宋体" w:hAnsi="宋体" w:eastAsia="宋体" w:cs="宋体"/>
          <w:bCs/>
          <w:kern w:val="0"/>
          <w:sz w:val="24"/>
          <w:szCs w:val="24"/>
        </w:rPr>
      </w:pPr>
      <w:r>
        <w:rPr>
          <w:rFonts w:hint="eastAsia" w:ascii="宋体" w:hAnsi="宋体" w:eastAsia="宋体" w:cs="宋体"/>
          <w:bCs/>
          <w:kern w:val="0"/>
          <w:sz w:val="24"/>
          <w:szCs w:val="24"/>
        </w:rPr>
        <w:t>（1）漏洞扫描服务：周期开展全面的漏洞扫描服务，使用漏洞扫描系统并结合人工方式，进行安全漏洞扫描；对识别出的能被入侵者用来非法进入网络或者非法获取信息资产的漏洞，提醒安全管理员，及时完善安全策略，降低安全风险查；每个月完成一次漏洞检查，及时发现最新的安全漏洞及安全风险，并出具详细的漏洞扫描报告及协助整改。</w:t>
      </w:r>
    </w:p>
    <w:p w14:paraId="5695DAF4">
      <w:pPr>
        <w:widowControl/>
        <w:spacing w:line="480" w:lineRule="exact"/>
        <w:ind w:firstLine="480" w:firstLineChars="200"/>
        <w:jc w:val="left"/>
        <w:rPr>
          <w:rFonts w:ascii="宋体" w:hAnsi="宋体" w:eastAsia="宋体" w:cs="宋体"/>
          <w:bCs/>
          <w:kern w:val="0"/>
          <w:sz w:val="24"/>
          <w:szCs w:val="24"/>
        </w:rPr>
      </w:pPr>
      <w:r>
        <w:rPr>
          <w:rFonts w:hint="eastAsia" w:ascii="宋体" w:hAnsi="宋体" w:eastAsia="宋体" w:cs="宋体"/>
          <w:bCs/>
          <w:kern w:val="0"/>
          <w:sz w:val="24"/>
          <w:szCs w:val="24"/>
        </w:rPr>
        <w:t>（2）渗透测试服务：</w:t>
      </w:r>
    </w:p>
    <w:p w14:paraId="216A1B30">
      <w:pPr>
        <w:widowControl/>
        <w:spacing w:line="480" w:lineRule="exact"/>
        <w:ind w:firstLine="480" w:firstLineChars="200"/>
        <w:jc w:val="left"/>
        <w:rPr>
          <w:rFonts w:ascii="宋体" w:hAnsi="宋体" w:eastAsia="宋体" w:cs="宋体"/>
          <w:bCs/>
          <w:kern w:val="0"/>
          <w:sz w:val="24"/>
          <w:szCs w:val="24"/>
        </w:rPr>
      </w:pPr>
      <w:r>
        <w:rPr>
          <w:rFonts w:hint="eastAsia" w:ascii="宋体" w:hAnsi="宋体" w:eastAsia="宋体" w:cs="宋体"/>
          <w:bCs/>
          <w:kern w:val="0"/>
          <w:sz w:val="24"/>
          <w:szCs w:val="24"/>
        </w:rPr>
        <w:t>①每季度渗透测试：针对渗透测试服务范围，并结合等级保护合规性测评等各项检查工作的成果，在可控范围内采用外部渗透方式对应用系统和网络安全基础设施进行非破坏性质的模拟入侵者攻击的测试，检测外部威胁源和路径，以便掌握系统的安全状况，寻找系统存在的漏洞和风险；并出具渗透测试报告；</w:t>
      </w:r>
    </w:p>
    <w:p w14:paraId="5DA207F0">
      <w:pPr>
        <w:widowControl/>
        <w:spacing w:line="480" w:lineRule="exact"/>
        <w:ind w:firstLine="480" w:firstLineChars="200"/>
        <w:jc w:val="left"/>
        <w:rPr>
          <w:rFonts w:ascii="宋体" w:hAnsi="宋体" w:eastAsia="宋体" w:cs="宋体"/>
          <w:bCs/>
          <w:kern w:val="0"/>
          <w:sz w:val="24"/>
          <w:szCs w:val="24"/>
          <w:highlight w:val="yellow"/>
        </w:rPr>
      </w:pPr>
      <w:r>
        <w:rPr>
          <w:rFonts w:hint="eastAsia" w:ascii="宋体" w:hAnsi="宋体" w:eastAsia="宋体" w:cs="宋体"/>
          <w:bCs/>
          <w:kern w:val="0"/>
          <w:sz w:val="24"/>
          <w:szCs w:val="24"/>
        </w:rPr>
        <w:t>②每季度漏洞修复：提供漏洞修复服务，依据渗透测试的结果，对发现的应用系统和应用系统承载设施存在的安全风险给出修复建议，协助软件公司修复并出具漏洞修复建议和报告；</w:t>
      </w:r>
    </w:p>
    <w:p w14:paraId="73D83D3C">
      <w:pPr>
        <w:widowControl/>
        <w:spacing w:line="480" w:lineRule="exact"/>
        <w:ind w:firstLine="480" w:firstLineChars="200"/>
        <w:jc w:val="left"/>
        <w:rPr>
          <w:rFonts w:ascii="仿宋" w:hAnsi="仿宋" w:eastAsia="仿宋" w:cs="仿宋"/>
          <w:bCs/>
          <w:kern w:val="0"/>
          <w:sz w:val="28"/>
          <w:szCs w:val="28"/>
          <w:highlight w:val="yellow"/>
        </w:rPr>
      </w:pPr>
      <w:r>
        <w:rPr>
          <w:rFonts w:hint="eastAsia" w:ascii="宋体" w:hAnsi="宋体" w:eastAsia="宋体" w:cs="宋体"/>
          <w:bCs/>
          <w:kern w:val="0"/>
          <w:sz w:val="24"/>
          <w:szCs w:val="24"/>
        </w:rPr>
        <w:t>（3）安全培训服务：针对员工的安全意识进行培训，保证人员具有与其岗位职责相适应安全意识，以减少人为因素给系统带来的安全风险。安全意识培训：主要针对内部员工及用户指定的相关人员，旨在提高全员的安全意识，包括日常网络安全防范、上网行为安全规范、网络安全法律法规宣贯等内容。 安全意识培训的方式包括：专家讲座、安全展板、手册、动画短片等方式（需根据用户实际需求选择）；安全培训服务次数：服务期内不少于二次，实际次数以用户要求为准。</w:t>
      </w:r>
      <w:r>
        <w:rPr>
          <w:rFonts w:hint="eastAsia" w:ascii="宋体" w:hAnsi="宋体" w:eastAsia="宋体" w:cs="宋体"/>
          <w:bCs/>
          <w:kern w:val="0"/>
          <w:sz w:val="24"/>
          <w:szCs w:val="24"/>
          <w:lang w:eastAsia="zh-CN"/>
        </w:rPr>
        <w:t>（</w:t>
      </w:r>
      <w:r>
        <w:rPr>
          <w:rFonts w:hint="eastAsia" w:ascii="宋体" w:hAnsi="宋体" w:eastAsia="宋体" w:cs="宋体"/>
          <w:bCs/>
          <w:kern w:val="0"/>
          <w:sz w:val="24"/>
          <w:szCs w:val="24"/>
          <w:lang w:val="en-US" w:eastAsia="zh-CN"/>
        </w:rPr>
        <w:t>服务单位需提供网络安全技能培训教材和配套课件，教材需自行编写印刷成册，同时提供u盘拷贝。</w:t>
      </w:r>
      <w:r>
        <w:rPr>
          <w:rFonts w:hint="eastAsia" w:ascii="宋体" w:hAnsi="宋体" w:eastAsia="宋体" w:cs="宋体"/>
          <w:bCs/>
          <w:kern w:val="0"/>
          <w:sz w:val="24"/>
          <w:szCs w:val="24"/>
          <w:lang w:eastAsia="zh-CN"/>
        </w:rPr>
        <w:t>）</w:t>
      </w:r>
    </w:p>
    <w:p w14:paraId="43B79F72">
      <w:pPr>
        <w:widowControl/>
        <w:spacing w:line="480" w:lineRule="exact"/>
        <w:ind w:firstLine="480" w:firstLineChars="200"/>
        <w:jc w:val="left"/>
        <w:rPr>
          <w:rFonts w:ascii="宋体" w:hAnsi="宋体" w:eastAsia="宋体" w:cs="宋体"/>
          <w:bCs/>
          <w:kern w:val="0"/>
          <w:sz w:val="24"/>
          <w:szCs w:val="24"/>
          <w:highlight w:val="yellow"/>
        </w:rPr>
      </w:pPr>
    </w:p>
    <w:p w14:paraId="4C3F3D9A">
      <w:pPr>
        <w:widowControl/>
        <w:spacing w:line="480" w:lineRule="exact"/>
        <w:ind w:firstLine="480" w:firstLineChars="200"/>
        <w:jc w:val="left"/>
        <w:rPr>
          <w:rFonts w:ascii="宋体" w:hAnsi="宋体" w:eastAsia="宋体" w:cs="宋体"/>
          <w:bCs/>
          <w:kern w:val="0"/>
          <w:sz w:val="24"/>
          <w:szCs w:val="24"/>
        </w:rPr>
      </w:pPr>
      <w:r>
        <w:rPr>
          <w:rFonts w:hint="eastAsia" w:ascii="宋体" w:hAnsi="宋体" w:eastAsia="宋体" w:cs="宋体"/>
          <w:bCs/>
          <w:kern w:val="0"/>
          <w:sz w:val="24"/>
          <w:szCs w:val="24"/>
        </w:rPr>
        <w:t>（4）安全预警保障服务：在政府的重大活动期间、国家护网行动期间、国家法定的重大节假日等重要时刻，以邮件、电话、走访、微信等方式提前做技术交流，帮助采购单位保持领先的安全理念和技术，并在可能对其业务运营产生重大影响的时刻，提供7*24小时保障服务。对跟当前信息系统有关的最新漏洞进行通告预警，遵循及时有效的原则。</w:t>
      </w:r>
    </w:p>
    <w:p w14:paraId="36417F08">
      <w:pPr>
        <w:widowControl/>
        <w:spacing w:line="480" w:lineRule="exact"/>
        <w:ind w:firstLine="480" w:firstLineChars="200"/>
        <w:jc w:val="left"/>
        <w:rPr>
          <w:rFonts w:ascii="宋体" w:hAnsi="宋体" w:eastAsia="宋体" w:cs="宋体"/>
          <w:bCs/>
          <w:kern w:val="0"/>
          <w:sz w:val="24"/>
          <w:szCs w:val="24"/>
        </w:rPr>
      </w:pPr>
      <w:r>
        <w:rPr>
          <w:rFonts w:hint="eastAsia" w:ascii="宋体" w:hAnsi="宋体" w:eastAsia="宋体" w:cs="宋体"/>
          <w:bCs/>
          <w:kern w:val="0"/>
          <w:sz w:val="24"/>
          <w:szCs w:val="24"/>
        </w:rPr>
        <w:t>（5）安全管理制度梳理服务：落实单位信息系统安全保护制度；按照等级保护安全管理制度的建设步骤，梳理现有安全管理制度，完善单位安全管理制度，细化各项操作流程、规范、表单；</w:t>
      </w:r>
    </w:p>
    <w:p w14:paraId="78F456F8">
      <w:pPr>
        <w:widowControl/>
        <w:spacing w:line="480" w:lineRule="exact"/>
        <w:ind w:firstLine="480" w:firstLineChars="200"/>
        <w:jc w:val="left"/>
        <w:rPr>
          <w:rFonts w:ascii="宋体" w:hAnsi="宋体" w:eastAsia="宋体" w:cs="宋体"/>
          <w:bCs/>
          <w:kern w:val="0"/>
          <w:sz w:val="24"/>
          <w:szCs w:val="24"/>
          <w:lang w:val="zh-CN"/>
        </w:rPr>
      </w:pPr>
      <w:r>
        <w:rPr>
          <w:rFonts w:hint="eastAsia" w:ascii="宋体" w:hAnsi="宋体" w:eastAsia="宋体" w:cs="宋体"/>
          <w:bCs/>
          <w:kern w:val="0"/>
          <w:sz w:val="24"/>
          <w:szCs w:val="24"/>
        </w:rPr>
        <w:t>（6）补丁升级服务:</w:t>
      </w:r>
      <w:r>
        <w:rPr>
          <w:rFonts w:hint="eastAsia" w:ascii="宋体" w:hAnsi="宋体" w:eastAsia="宋体" w:cs="宋体"/>
          <w:bCs/>
          <w:kern w:val="0"/>
          <w:sz w:val="24"/>
          <w:szCs w:val="24"/>
          <w:lang w:val="zh-CN"/>
        </w:rPr>
        <w:t>补丁修复漏洞，安全配置增强等技术手段进行安全加固和优化，提高系统的安全性和抗攻击能力。另需要其他第三方支持的（如需应用开发方修复或是设备原厂响应的）。</w:t>
      </w:r>
    </w:p>
    <w:p w14:paraId="7CB841C7">
      <w:pPr>
        <w:widowControl/>
        <w:spacing w:line="480" w:lineRule="exact"/>
        <w:ind w:firstLine="480" w:firstLineChars="200"/>
        <w:jc w:val="left"/>
        <w:rPr>
          <w:rFonts w:ascii="宋体" w:hAnsi="宋体" w:eastAsia="宋体" w:cs="宋体"/>
          <w:bCs/>
          <w:kern w:val="0"/>
          <w:sz w:val="24"/>
          <w:szCs w:val="24"/>
        </w:rPr>
      </w:pPr>
      <w:r>
        <w:rPr>
          <w:rFonts w:hint="eastAsia" w:ascii="宋体" w:hAnsi="宋体" w:eastAsia="宋体" w:cs="宋体"/>
          <w:bCs/>
          <w:kern w:val="0"/>
          <w:sz w:val="24"/>
          <w:szCs w:val="24"/>
        </w:rPr>
        <w:t>（7）</w:t>
      </w:r>
      <w:r>
        <w:rPr>
          <w:rFonts w:hint="eastAsia" w:ascii="宋体" w:hAnsi="宋体" w:eastAsia="宋体" w:cs="宋体"/>
          <w:bCs/>
          <w:kern w:val="0"/>
          <w:sz w:val="24"/>
          <w:szCs w:val="24"/>
          <w:lang w:val="zh-CN"/>
        </w:rPr>
        <w:t>咨询服务</w:t>
      </w:r>
      <w:r>
        <w:rPr>
          <w:rFonts w:hint="eastAsia" w:ascii="宋体" w:hAnsi="宋体" w:eastAsia="宋体" w:cs="宋体"/>
          <w:bCs/>
          <w:kern w:val="0"/>
          <w:sz w:val="24"/>
          <w:szCs w:val="24"/>
        </w:rPr>
        <w:t>:</w:t>
      </w:r>
    </w:p>
    <w:p w14:paraId="1035DA3B">
      <w:pPr>
        <w:widowControl/>
        <w:spacing w:line="480" w:lineRule="exact"/>
        <w:ind w:firstLine="480" w:firstLineChars="200"/>
        <w:jc w:val="left"/>
        <w:rPr>
          <w:rFonts w:ascii="宋体" w:hAnsi="宋体" w:eastAsia="宋体" w:cs="宋体"/>
          <w:bCs/>
          <w:kern w:val="0"/>
          <w:sz w:val="24"/>
          <w:szCs w:val="24"/>
          <w:lang w:val="zh-CN"/>
        </w:rPr>
      </w:pPr>
      <w:r>
        <w:rPr>
          <w:rFonts w:hint="eastAsia" w:ascii="宋体" w:hAnsi="宋体" w:eastAsia="宋体" w:cs="宋体"/>
          <w:bCs/>
          <w:kern w:val="0"/>
          <w:sz w:val="24"/>
          <w:szCs w:val="24"/>
        </w:rPr>
        <w:t>①</w:t>
      </w:r>
      <w:r>
        <w:rPr>
          <w:rFonts w:hint="eastAsia" w:ascii="宋体" w:hAnsi="宋体" w:eastAsia="宋体" w:cs="宋体"/>
          <w:bCs/>
          <w:kern w:val="0"/>
          <w:sz w:val="24"/>
          <w:szCs w:val="24"/>
          <w:lang w:val="zh-CN"/>
        </w:rPr>
        <w:t>安全建设咨询规划</w:t>
      </w:r>
    </w:p>
    <w:p w14:paraId="51AD802D">
      <w:pPr>
        <w:widowControl/>
        <w:spacing w:line="480" w:lineRule="exact"/>
        <w:ind w:firstLine="480" w:firstLineChars="200"/>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以前期资产梳理、安全评估、网络拓扑、数据流向等工作成果作为现实依据，结合采购人的实际需求，参考国内外安全标准和国内新技术研究（如等保2.0、关键信息基础设施保护条例、商用密码体系、云计算、大数据、物联网、移动安全）对采购人网络安全建设提供咨询服务，包括网络安全结构设计、系统安全设计、年度建设规划和其他网络安全方案设计；提供网络安全远景规划设计，为未来网络信息安全工作开展提供有力指导与支撑。</w:t>
      </w:r>
      <w:r>
        <w:rPr>
          <w:rFonts w:hint="eastAsia" w:ascii="宋体" w:hAnsi="宋体" w:eastAsia="宋体" w:cs="宋体"/>
          <w:bCs/>
          <w:kern w:val="0"/>
          <w:sz w:val="24"/>
          <w:szCs w:val="24"/>
          <w:lang w:val="zh-CN"/>
        </w:rPr>
        <w:br w:type="textWrapping"/>
      </w:r>
      <w:r>
        <w:rPr>
          <w:rFonts w:hint="eastAsia" w:ascii="宋体" w:hAnsi="宋体" w:eastAsia="宋体" w:cs="宋体"/>
          <w:bCs/>
          <w:kern w:val="0"/>
          <w:sz w:val="24"/>
          <w:szCs w:val="24"/>
        </w:rPr>
        <w:t xml:space="preserve">   ②</w:t>
      </w:r>
      <w:r>
        <w:rPr>
          <w:rFonts w:hint="eastAsia" w:ascii="宋体" w:hAnsi="宋体" w:eastAsia="宋体" w:cs="宋体"/>
          <w:bCs/>
          <w:kern w:val="0"/>
          <w:sz w:val="24"/>
          <w:szCs w:val="24"/>
          <w:lang w:val="zh-CN"/>
        </w:rPr>
        <w:t>日常安全问题咨询</w:t>
      </w:r>
      <w:r>
        <w:rPr>
          <w:rFonts w:hint="eastAsia" w:ascii="宋体" w:hAnsi="宋体" w:eastAsia="宋体" w:cs="宋体"/>
          <w:bCs/>
          <w:kern w:val="0"/>
          <w:sz w:val="24"/>
          <w:szCs w:val="24"/>
          <w:lang w:val="zh-CN"/>
        </w:rPr>
        <w:br w:type="textWrapping"/>
      </w:r>
      <w:r>
        <w:rPr>
          <w:rFonts w:hint="eastAsia" w:ascii="宋体" w:hAnsi="宋体" w:eastAsia="宋体" w:cs="宋体"/>
          <w:bCs/>
          <w:kern w:val="0"/>
          <w:sz w:val="24"/>
          <w:szCs w:val="24"/>
          <w:lang w:val="zh-CN"/>
        </w:rPr>
        <w:t>依据实际需求，参考国内外安全标准，提供日常安全问题咨询服务，主要包括大的安全决策、安全事件处理等。 针对各类网络安全事件，提供完整全面的处理方案，方案具有可操作性、能够指导采购人进行事件处理和应对。</w:t>
      </w:r>
      <w:r>
        <w:rPr>
          <w:rFonts w:hint="eastAsia" w:ascii="宋体" w:hAnsi="宋体" w:eastAsia="宋体" w:cs="宋体"/>
          <w:bCs/>
          <w:kern w:val="0"/>
          <w:sz w:val="24"/>
          <w:szCs w:val="24"/>
          <w:lang w:val="zh-CN"/>
        </w:rPr>
        <w:br w:type="textWrapping"/>
      </w:r>
      <w:r>
        <w:rPr>
          <w:rFonts w:hint="eastAsia" w:ascii="宋体" w:hAnsi="宋体" w:eastAsia="宋体" w:cs="宋体"/>
          <w:bCs/>
          <w:kern w:val="0"/>
          <w:sz w:val="24"/>
          <w:szCs w:val="24"/>
        </w:rPr>
        <w:t xml:space="preserve">   ③</w:t>
      </w:r>
      <w:r>
        <w:rPr>
          <w:rFonts w:hint="eastAsia" w:ascii="宋体" w:hAnsi="宋体" w:eastAsia="宋体" w:cs="宋体"/>
          <w:bCs/>
          <w:kern w:val="0"/>
          <w:sz w:val="24"/>
          <w:szCs w:val="24"/>
          <w:lang w:val="zh-CN"/>
        </w:rPr>
        <w:t>网络安全等级保护咨询</w:t>
      </w:r>
      <w:r>
        <w:rPr>
          <w:rFonts w:hint="eastAsia" w:ascii="宋体" w:hAnsi="宋体" w:eastAsia="宋体" w:cs="宋体"/>
          <w:bCs/>
          <w:kern w:val="0"/>
          <w:sz w:val="24"/>
          <w:szCs w:val="24"/>
          <w:lang w:val="zh-CN"/>
        </w:rPr>
        <w:br w:type="textWrapping"/>
      </w:r>
      <w:r>
        <w:rPr>
          <w:rFonts w:hint="eastAsia" w:ascii="宋体" w:hAnsi="宋体" w:eastAsia="宋体" w:cs="宋体"/>
          <w:bCs/>
          <w:kern w:val="0"/>
          <w:sz w:val="24"/>
          <w:szCs w:val="24"/>
          <w:lang w:val="zh-CN"/>
        </w:rPr>
        <w:t>深化网络安全等级保护工作，基于对网络安全的深刻理解，在等级保护的框架下构建一个安全、可靠、灵活、可持续改进的网络安全体系，对等级保护各个阶段的工作重点为客户提供全方位的支持和服务，协助完成定级备案、差距分析、安全整改或安全建议和协助厂家等保测评工作。</w:t>
      </w:r>
    </w:p>
    <w:p w14:paraId="2225327A">
      <w:pPr>
        <w:widowControl/>
        <w:spacing w:line="480" w:lineRule="exact"/>
        <w:ind w:firstLine="480" w:firstLineChars="200"/>
        <w:jc w:val="left"/>
        <w:rPr>
          <w:rFonts w:ascii="宋体" w:hAnsi="宋体" w:eastAsia="宋体" w:cs="宋体"/>
          <w:bCs/>
          <w:kern w:val="0"/>
          <w:sz w:val="24"/>
          <w:szCs w:val="24"/>
          <w:lang w:val="zh-CN"/>
        </w:rPr>
      </w:pPr>
      <w:r>
        <w:rPr>
          <w:rFonts w:hint="eastAsia" w:ascii="宋体" w:hAnsi="宋体" w:eastAsia="宋体" w:cs="宋体"/>
          <w:bCs/>
          <w:kern w:val="0"/>
          <w:sz w:val="24"/>
          <w:szCs w:val="24"/>
        </w:rPr>
        <w:t>（8）</w:t>
      </w:r>
      <w:r>
        <w:rPr>
          <w:rFonts w:hint="eastAsia" w:ascii="宋体" w:hAnsi="宋体" w:eastAsia="宋体" w:cs="宋体"/>
          <w:bCs/>
          <w:kern w:val="0"/>
          <w:sz w:val="24"/>
          <w:szCs w:val="24"/>
          <w:lang w:val="zh-CN"/>
        </w:rPr>
        <w:t>安全加固服务</w:t>
      </w:r>
      <w:r>
        <w:rPr>
          <w:rFonts w:hint="eastAsia" w:ascii="宋体" w:hAnsi="宋体" w:eastAsia="宋体" w:cs="宋体"/>
          <w:bCs/>
          <w:kern w:val="0"/>
          <w:sz w:val="24"/>
          <w:szCs w:val="24"/>
        </w:rPr>
        <w:t>:</w:t>
      </w:r>
      <w:r>
        <w:rPr>
          <w:rFonts w:hint="eastAsia" w:ascii="宋体" w:hAnsi="宋体" w:eastAsia="宋体" w:cs="宋体"/>
          <w:bCs/>
          <w:kern w:val="0"/>
          <w:sz w:val="24"/>
          <w:szCs w:val="24"/>
          <w:lang w:val="zh-CN"/>
        </w:rPr>
        <w:t>启东市自来水厂有限公司系统涉及的应用服务操作系统加固、应用服务加固、程序代码加固服务，能抵御对操作系统的直接攻击，能在发生攻击时限制影响范围。</w:t>
      </w:r>
    </w:p>
    <w:p w14:paraId="5419CC51">
      <w:pPr>
        <w:widowControl/>
        <w:spacing w:line="480" w:lineRule="exact"/>
        <w:ind w:firstLine="482" w:firstLineChars="200"/>
        <w:jc w:val="left"/>
        <w:rPr>
          <w:rFonts w:ascii="宋体" w:hAnsi="宋体" w:eastAsia="宋体" w:cs="宋体"/>
          <w:b/>
          <w:kern w:val="0"/>
          <w:sz w:val="24"/>
          <w:szCs w:val="24"/>
        </w:rPr>
      </w:pPr>
      <w:r>
        <w:rPr>
          <w:rFonts w:hint="eastAsia" w:ascii="宋体" w:hAnsi="宋体" w:eastAsia="宋体" w:cs="宋体"/>
          <w:b/>
          <w:kern w:val="0"/>
          <w:sz w:val="24"/>
          <w:szCs w:val="24"/>
        </w:rPr>
        <w:t>以上增值服务未能履约、及时响应的，并对启东市自来水厂有限公司造成严重负面影响的将列入黑名单，不得再参与启东水司的任何采购项目，并且有权全额扣除全部履约保证金，全额不予退还，同时采购单位亦有权终止合同，成交供应商还须承担相应的法律赔偿责任。</w:t>
      </w:r>
    </w:p>
    <w:p w14:paraId="762A2047">
      <w:pPr>
        <w:widowControl/>
        <w:spacing w:line="480" w:lineRule="exact"/>
        <w:ind w:firstLine="361" w:firstLineChars="150"/>
        <w:jc w:val="left"/>
        <w:rPr>
          <w:rFonts w:ascii="宋体" w:hAnsi="宋体" w:eastAsia="宋体" w:cs="宋体"/>
          <w:b/>
          <w:bCs/>
          <w:kern w:val="0"/>
          <w:sz w:val="24"/>
          <w:szCs w:val="24"/>
        </w:rPr>
      </w:pPr>
      <w:r>
        <w:rPr>
          <w:rFonts w:hint="eastAsia" w:ascii="宋体" w:hAnsi="宋体" w:eastAsia="宋体" w:cs="宋体"/>
          <w:b/>
          <w:bCs/>
          <w:kern w:val="0"/>
          <w:sz w:val="24"/>
          <w:szCs w:val="24"/>
        </w:rPr>
        <w:t>（七）采购标的验收标准;</w:t>
      </w:r>
    </w:p>
    <w:p w14:paraId="41F7FDA0">
      <w:pPr>
        <w:widowControl/>
        <w:spacing w:line="48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采购人按合同约定积极配合成交供应商履约，成交供应商履约到位，完成备案取得三级等保的测评报告后，且履约期满后，请以书面形式向采购单位提出验收申请，采购人接到申请后及时组织相关专业技术人员及相关部门参与验收，并出具验收证明书。</w:t>
      </w:r>
    </w:p>
    <w:p w14:paraId="325CC8B2">
      <w:pPr>
        <w:widowControl/>
        <w:spacing w:line="480" w:lineRule="exact"/>
        <w:ind w:firstLine="361" w:firstLineChars="150"/>
        <w:jc w:val="left"/>
        <w:rPr>
          <w:rFonts w:ascii="宋体" w:hAnsi="宋体" w:eastAsia="宋体" w:cs="宋体"/>
          <w:b/>
          <w:bCs/>
          <w:kern w:val="0"/>
          <w:sz w:val="24"/>
          <w:szCs w:val="24"/>
        </w:rPr>
      </w:pPr>
      <w:r>
        <w:rPr>
          <w:rFonts w:hint="eastAsia" w:ascii="宋体" w:hAnsi="宋体" w:eastAsia="宋体" w:cs="宋体"/>
          <w:b/>
          <w:bCs/>
          <w:kern w:val="0"/>
          <w:sz w:val="24"/>
          <w:szCs w:val="24"/>
        </w:rPr>
        <w:t>（八）采购标的的其他技术、服务等要求；</w:t>
      </w:r>
    </w:p>
    <w:p w14:paraId="20A18249">
      <w:pPr>
        <w:widowControl/>
        <w:spacing w:line="48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项目配合：项目实施过程中，成交供应商如需采购人配合，成交供应商需要详细描述需要配合的内容。如需要采购人填写各种表单，需要详细描述表单的名称、功能及主要表项等等。采购人有权利拒绝提供任何信息列表以外的资产信息。</w:t>
      </w:r>
    </w:p>
    <w:p w14:paraId="660295FD">
      <w:pPr>
        <w:widowControl/>
        <w:spacing w:line="48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2、人员配备：成交供应商配备的服务人员须具备信息安全等级测评师资质。</w:t>
      </w:r>
    </w:p>
    <w:p w14:paraId="34F1C2DC">
      <w:pPr>
        <w:widowControl/>
        <w:spacing w:line="48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3、设备要求：本项目中可能需要的软硬件平台均由成交供应商提供，采购人可按照相关要求对设备进行必要的处理。成交供应商须保证所使用的所有工具和软件不具有所有权和知识产权纠纷，并保证工具和软件的可用性和可靠性，由此产生的一切责任由成交供应商负完全责任。</w:t>
      </w:r>
    </w:p>
    <w:p w14:paraId="0FAB42DE">
      <w:pPr>
        <w:widowControl/>
        <w:spacing w:line="48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4、质量要求：成交供应商须向采购人提供详细的测评材料、各种表单及结果报告。测评服务的范围、内容、形式、标准等应符合国家及行业的有关标准及规范要求。</w:t>
      </w:r>
    </w:p>
    <w:p w14:paraId="2A600F40">
      <w:pPr>
        <w:widowControl/>
        <w:spacing w:line="48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5、风险控制：所有服务工作必须保证不影响采购人业务系统的正常运行，成交供应商须制定科学、有效的风险分析与控制措施。</w:t>
      </w:r>
    </w:p>
    <w:p w14:paraId="6382F2D3">
      <w:pPr>
        <w:widowControl/>
        <w:spacing w:line="48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6、安全保密：成交供应商须与采购人签订保密协议，服务人员须遵循采购人的各项规章制度，服务中所接触到的各种资料、文档等一切信息，未经采购人同意，不得向任何第三方泄露。</w:t>
      </w:r>
    </w:p>
    <w:p w14:paraId="3B39BB98">
      <w:pPr>
        <w:widowControl/>
        <w:spacing w:line="48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7、本项目须由成交供应商独立完成，不得转包或分包。</w:t>
      </w:r>
    </w:p>
    <w:p w14:paraId="7C67B8C5">
      <w:pPr>
        <w:pStyle w:val="2"/>
        <w:keepNext w:val="0"/>
        <w:keepLines w:val="0"/>
        <w:pageBreakBefore w:val="0"/>
        <w:widowControl/>
        <w:kinsoku/>
        <w:wordWrap/>
        <w:overflowPunct/>
        <w:topLinePunct w:val="0"/>
        <w:autoSpaceDE w:val="0"/>
        <w:autoSpaceDN w:val="0"/>
        <w:bidi w:val="0"/>
        <w:adjustRightInd/>
        <w:snapToGrid/>
        <w:spacing w:line="480" w:lineRule="exact"/>
        <w:ind w:firstLine="467" w:firstLineChars="194"/>
        <w:textAlignment w:val="auto"/>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8、其他要求：在服务期间，必须确保不发生任何网络安全事故通报。若发生1次事故通报，将扣除合同金额的20%；若发生2次事故通报，将扣除合同金额的50%；若发生3次事故通报，将立即终止合同，全额扣除履约保证金，所产生的所有损失由服务商全额承担，不设上限索赔。且出现问题造成严重负面影响的或服务商责任违约的将列入黑名单，不得再参与启东市自来水厂有限公司的任何采购项目。</w:t>
      </w:r>
    </w:p>
    <w:p w14:paraId="5FAC66F2">
      <w:pPr>
        <w:snapToGrid w:val="0"/>
        <w:spacing w:line="500" w:lineRule="exact"/>
        <w:ind w:firstLine="482" w:firstLineChars="200"/>
        <w:rPr>
          <w:rFonts w:hint="eastAsia" w:ascii="宋体" w:hAnsi="宋体" w:eastAsia="宋体" w:cs="宋体"/>
          <w:kern w:val="0"/>
          <w:sz w:val="24"/>
          <w:szCs w:val="24"/>
          <w:lang w:val="en-US" w:eastAsia="zh-CN" w:bidi="ar-SA"/>
        </w:rPr>
      </w:pPr>
      <w:r>
        <w:rPr>
          <w:rFonts w:hint="eastAsia" w:ascii="宋体" w:hAnsi="宋体" w:eastAsia="宋体" w:cs="宋体"/>
          <w:b/>
          <w:bCs/>
          <w:kern w:val="0"/>
          <w:sz w:val="24"/>
          <w:szCs w:val="24"/>
          <w:lang w:val="en-US" w:eastAsia="zh-CN" w:bidi="ar-SA"/>
        </w:rPr>
        <w:t>9、若本项目未通过公安备案，视为未完成本项目合同内容，甲方有权终止合同，合同款不予支付，其相关风险由投标服务商自行承担。</w:t>
      </w:r>
    </w:p>
    <w:p w14:paraId="74FAB8B9">
      <w:pPr>
        <w:snapToGrid w:val="0"/>
        <w:spacing w:line="500" w:lineRule="exact"/>
        <w:ind w:firstLine="482" w:firstLineChars="200"/>
        <w:rPr>
          <w:rFonts w:asciiTheme="minorEastAsia" w:hAnsiTheme="minorEastAsia"/>
          <w:b/>
          <w:sz w:val="24"/>
          <w:szCs w:val="24"/>
        </w:rPr>
      </w:pPr>
      <w:r>
        <w:rPr>
          <w:rFonts w:hint="eastAsia" w:asciiTheme="minorEastAsia" w:hAnsiTheme="minorEastAsia"/>
          <w:b/>
          <w:sz w:val="24"/>
          <w:szCs w:val="24"/>
        </w:rPr>
        <w:t>二、投标报价要求</w:t>
      </w:r>
    </w:p>
    <w:p w14:paraId="1596BC05">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1.供应商应仔细阅读谈判文件的所有内容，按谈判文件的要求提供谈判响应文件，并保证所提供的全部资料的真实性，以使其投标对谈判文件作出实质性响应。</w:t>
      </w:r>
    </w:p>
    <w:p w14:paraId="6206CD2E">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2.供应商报价应包括完成本项目全部服务所发生的费用，以及为完成本项目工作所必须的劳务费、编制费、差旅费、资料和数据收集与分析、利润、税金、保险、公安备案等所有相关费用。报价供应商报价时应充分考虑国家政策性调整等风险因素，在合同实施期间，合同价不随国家政策或法规、标准及市场因素的变化而进行调整。</w:t>
      </w:r>
    </w:p>
    <w:p w14:paraId="7EE17764">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3.谈判报价中的计价一律采用人民币。若大写与小写不一致，以大写为准。</w:t>
      </w:r>
    </w:p>
    <w:p w14:paraId="1C7F3D00">
      <w:pPr>
        <w:snapToGrid w:val="0"/>
        <w:spacing w:line="500" w:lineRule="exact"/>
        <w:ind w:firstLine="482" w:firstLineChars="200"/>
        <w:rPr>
          <w:rFonts w:asciiTheme="minorEastAsia" w:hAnsiTheme="minorEastAsia"/>
          <w:b/>
          <w:sz w:val="24"/>
          <w:szCs w:val="24"/>
        </w:rPr>
      </w:pPr>
      <w:r>
        <w:rPr>
          <w:rFonts w:hint="eastAsia" w:asciiTheme="minorEastAsia" w:hAnsiTheme="minorEastAsia"/>
          <w:b/>
          <w:sz w:val="24"/>
          <w:szCs w:val="24"/>
        </w:rPr>
        <w:t>三、付款方式</w:t>
      </w:r>
    </w:p>
    <w:p w14:paraId="26915CBB">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采购人在收到测评报告</w:t>
      </w:r>
      <w:r>
        <w:rPr>
          <w:rFonts w:hint="eastAsia" w:asciiTheme="minorEastAsia" w:hAnsiTheme="minorEastAsia"/>
          <w:sz w:val="24"/>
          <w:szCs w:val="24"/>
          <w:lang w:eastAsia="zh-CN"/>
        </w:rPr>
        <w:t>，</w:t>
      </w:r>
      <w:r>
        <w:rPr>
          <w:rFonts w:hint="eastAsia" w:asciiTheme="minorEastAsia" w:hAnsiTheme="minorEastAsia"/>
          <w:sz w:val="24"/>
          <w:szCs w:val="24"/>
        </w:rPr>
        <w:t>且年度合同期满后一个月内一次性付清。成交供应商应在付款前提供正式发票。</w:t>
      </w:r>
    </w:p>
    <w:p w14:paraId="0BAEC7A5">
      <w:pPr>
        <w:snapToGrid w:val="0"/>
        <w:spacing w:line="500" w:lineRule="exact"/>
        <w:ind w:firstLine="482" w:firstLineChars="200"/>
        <w:rPr>
          <w:rFonts w:asciiTheme="minorEastAsia" w:hAnsiTheme="minorEastAsia"/>
          <w:b/>
          <w:sz w:val="24"/>
          <w:szCs w:val="24"/>
        </w:rPr>
      </w:pPr>
      <w:r>
        <w:rPr>
          <w:rFonts w:hint="eastAsia" w:asciiTheme="minorEastAsia" w:hAnsiTheme="minorEastAsia"/>
          <w:b/>
          <w:sz w:val="24"/>
          <w:szCs w:val="24"/>
        </w:rPr>
        <w:t>四、履约保证金</w:t>
      </w:r>
    </w:p>
    <w:p w14:paraId="579AA0F7">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1. 被确定成交的供应商，必须在收到中标通知书后3日内向采购单位交纳履约保证金，金额为合同总金额的10%（提交方式：应当以数字人民币、银行转账、网银、电汇、支票、本票、汇票、银行保函、保险保函等形式提交）。履约保证金在供应商供货服务期完毕并验收合格后返还。合同履行过程中，如供应商违约的，招标单位有权在履约保证金中直接扣除相应的款项。</w:t>
      </w:r>
    </w:p>
    <w:p w14:paraId="655A6CA6">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2.发生以下情况的，履约保证金不予退还或部分退还：</w:t>
      </w:r>
    </w:p>
    <w:p w14:paraId="4D856760">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a.签订合同后，成交供应商不履行合同义务的，采购单位有权全额扣除履约保证金，全额不予退还，同时采购单位亦有权终止合同，成交供应商还须承担相应的法律赔偿责任。</w:t>
      </w:r>
    </w:p>
    <w:p w14:paraId="1A5D19E8">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b.成交供应商在履约过程中发生违约行为，给采购单位造成损失的，采购单位有权在成交供应商缴纳的履约保证金中予以扣款，以弥补采购单位经济损失，不足的部分成交供应商另外补齐。</w:t>
      </w:r>
    </w:p>
    <w:p w14:paraId="668D252A">
      <w:pPr>
        <w:spacing w:line="500" w:lineRule="exact"/>
        <w:jc w:val="both"/>
        <w:rPr>
          <w:rFonts w:hint="eastAsia" w:ascii="宋体" w:hAnsi="宋体" w:eastAsia="宋体" w:cs="Times New Roman"/>
          <w:b/>
          <w:sz w:val="28"/>
          <w:szCs w:val="28"/>
        </w:rPr>
      </w:pPr>
    </w:p>
    <w:p w14:paraId="3EF9409C">
      <w:pPr>
        <w:spacing w:line="500" w:lineRule="exact"/>
        <w:jc w:val="center"/>
        <w:rPr>
          <w:rFonts w:ascii="宋体" w:hAnsi="Times New Roman" w:eastAsia="宋体" w:cs="Times New Roman"/>
          <w:b/>
          <w:sz w:val="24"/>
          <w:szCs w:val="24"/>
        </w:rPr>
      </w:pPr>
      <w:r>
        <w:rPr>
          <w:rFonts w:hint="eastAsia" w:ascii="宋体" w:hAnsi="宋体" w:eastAsia="宋体" w:cs="Times New Roman"/>
          <w:b/>
          <w:sz w:val="28"/>
          <w:szCs w:val="28"/>
        </w:rPr>
        <w:t>第四部分  评审方法和评审标准</w:t>
      </w:r>
    </w:p>
    <w:p w14:paraId="0EEA1D2E">
      <w:pPr>
        <w:snapToGrid w:val="0"/>
        <w:spacing w:line="500" w:lineRule="exact"/>
        <w:rPr>
          <w:rFonts w:asciiTheme="minorEastAsia" w:hAnsiTheme="minorEastAsia"/>
          <w:b/>
          <w:sz w:val="24"/>
          <w:szCs w:val="24"/>
        </w:rPr>
      </w:pPr>
      <w:r>
        <w:rPr>
          <w:rFonts w:hint="eastAsia" w:asciiTheme="minorEastAsia" w:hAnsiTheme="minorEastAsia"/>
          <w:b/>
          <w:sz w:val="24"/>
          <w:szCs w:val="24"/>
        </w:rPr>
        <w:t>一、谈判方式</w:t>
      </w:r>
    </w:p>
    <w:p w14:paraId="7300E412">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现场谈判，供应商按照谈判公告的要求参加谈判活动。</w:t>
      </w:r>
    </w:p>
    <w:p w14:paraId="2895CF9E">
      <w:pPr>
        <w:snapToGrid w:val="0"/>
        <w:spacing w:line="500" w:lineRule="exact"/>
        <w:rPr>
          <w:rFonts w:asciiTheme="minorEastAsia" w:hAnsiTheme="minorEastAsia"/>
          <w:b/>
          <w:sz w:val="24"/>
          <w:szCs w:val="24"/>
        </w:rPr>
      </w:pPr>
      <w:r>
        <w:rPr>
          <w:rFonts w:hint="eastAsia" w:asciiTheme="minorEastAsia" w:hAnsiTheme="minorEastAsia"/>
          <w:b/>
          <w:sz w:val="24"/>
          <w:szCs w:val="24"/>
        </w:rPr>
        <w:t>二、谈判程序及评审方法和标准</w:t>
      </w:r>
    </w:p>
    <w:p w14:paraId="6BC70A59">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采购代理机构现场打开供应商的响应文件，谈判小组对供应商的资格性、符合性进行审查，通过审查的供应商接受谈判小组的谈判，在质量和服务相等的前提下，最后报价最低者为成交供应商。</w:t>
      </w:r>
    </w:p>
    <w:p w14:paraId="1C644B03">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资格审查结束后进入最后报价环节，最后报价将作为评审价。所有的响应供应商须在20分钟内填写完毕并递交最后报价，未在规定时间内递交最后报价或超过第一次报价的，视作无效响应处理。</w:t>
      </w:r>
    </w:p>
    <w:p w14:paraId="41337BD0">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最后报价是供应商响应文件的有效组成部分，提交最后报价的供应商不得少于3家。</w:t>
      </w:r>
    </w:p>
    <w:p w14:paraId="4412EB3C">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各供应商最后报价结束后,如谈判小组认为最后报价最低的供应商的报价明显低于其自身成本，涉嫌恶意竞争，有可能影响服务质量和不能诚信履约的，则有权要求其在合理的时间内现场提供说明，必要时提交相关证明材料。若该供应商拒绝说明或未在规定期限内提供说明，或虽有书面说明但仍无法证明其报价合理性的，则谈判小组有权取消其谈判成交资格，按顺序由最后报价次低的供应商递补，以此类推。</w:t>
      </w:r>
    </w:p>
    <w:p w14:paraId="5CCCB921">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评委在认真审阅响应文件的基础上，根据各响应文件的响应程度独立评判。</w:t>
      </w:r>
    </w:p>
    <w:p w14:paraId="0350C3F9">
      <w:pPr>
        <w:snapToGrid w:val="0"/>
        <w:spacing w:line="500" w:lineRule="exact"/>
        <w:rPr>
          <w:rFonts w:asciiTheme="minorEastAsia" w:hAnsiTheme="minorEastAsia"/>
          <w:b/>
          <w:sz w:val="24"/>
          <w:szCs w:val="24"/>
        </w:rPr>
      </w:pPr>
      <w:r>
        <w:rPr>
          <w:rFonts w:hint="eastAsia" w:asciiTheme="minorEastAsia" w:hAnsiTheme="minorEastAsia"/>
          <w:b/>
          <w:sz w:val="24"/>
          <w:szCs w:val="24"/>
        </w:rPr>
        <w:t>（一）谈判小组对供应商资格进行审查</w:t>
      </w:r>
    </w:p>
    <w:p w14:paraId="50863E6C">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供应商资格不合格的，其响应文件判定为无效响应文件。</w:t>
      </w:r>
    </w:p>
    <w:p w14:paraId="0E63D3D8">
      <w:pPr>
        <w:snapToGrid w:val="0"/>
        <w:spacing w:line="500" w:lineRule="exact"/>
        <w:rPr>
          <w:rFonts w:asciiTheme="minorEastAsia" w:hAnsiTheme="minorEastAsia"/>
          <w:b/>
          <w:sz w:val="24"/>
          <w:szCs w:val="24"/>
        </w:rPr>
      </w:pPr>
      <w:r>
        <w:rPr>
          <w:rFonts w:hint="eastAsia" w:asciiTheme="minorEastAsia" w:hAnsiTheme="minorEastAsia"/>
          <w:b/>
          <w:sz w:val="24"/>
          <w:szCs w:val="24"/>
        </w:rPr>
        <w:t>（二）谈判小组对符合资格要求的供应商的响应文件进行符合性审查</w:t>
      </w:r>
    </w:p>
    <w:p w14:paraId="3DFE9757">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未通过符合性审查的响应文件，将被判为不满足谈判文件实质性要求。</w:t>
      </w:r>
    </w:p>
    <w:p w14:paraId="1805DDC6">
      <w:pPr>
        <w:snapToGrid w:val="0"/>
        <w:spacing w:line="500" w:lineRule="exact"/>
        <w:rPr>
          <w:rFonts w:asciiTheme="minorEastAsia" w:hAnsiTheme="minorEastAsia"/>
          <w:b/>
          <w:sz w:val="24"/>
          <w:szCs w:val="24"/>
        </w:rPr>
      </w:pPr>
      <w:r>
        <w:rPr>
          <w:rFonts w:hint="eastAsia" w:asciiTheme="minorEastAsia" w:hAnsiTheme="minorEastAsia"/>
          <w:b/>
          <w:sz w:val="24"/>
          <w:szCs w:val="24"/>
        </w:rPr>
        <w:t>（三）成交供应商的确定</w:t>
      </w:r>
    </w:p>
    <w:p w14:paraId="1E13E878">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谈判小组将从质量和服务均能满足采购文件实质性响应要求的供应商中，按照最后报价由低到高顺序推荐1名成交候选供应商，并编写评审报告。</w:t>
      </w:r>
    </w:p>
    <w:p w14:paraId="3E7647E0">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采购人从评审报告提出的成交候选供应商中，根据质量和服务均能满足采购文件实质性响应要求且最后报价最低的原则确定成交供应商。</w:t>
      </w:r>
    </w:p>
    <w:p w14:paraId="1D3D40F0">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采购人委托谈判小组直接确定排名第一的成交候选人为成交供应商。若报价相同时则通过抽签方式随机确定排名顺序。</w:t>
      </w:r>
    </w:p>
    <w:p w14:paraId="2D265A7B">
      <w:pPr>
        <w:snapToGrid w:val="0"/>
        <w:spacing w:line="500" w:lineRule="exact"/>
        <w:rPr>
          <w:rFonts w:asciiTheme="minorEastAsia" w:hAnsiTheme="minorEastAsia"/>
          <w:b/>
          <w:sz w:val="24"/>
          <w:szCs w:val="24"/>
        </w:rPr>
      </w:pPr>
      <w:r>
        <w:rPr>
          <w:rFonts w:hint="eastAsia" w:asciiTheme="minorEastAsia" w:hAnsiTheme="minorEastAsia"/>
          <w:b/>
          <w:sz w:val="24"/>
          <w:szCs w:val="24"/>
        </w:rPr>
        <w:t>（四）采购</w:t>
      </w:r>
      <w:r>
        <w:rPr>
          <w:rFonts w:hint="eastAsia" w:asciiTheme="minorEastAsia" w:hAnsiTheme="minorEastAsia"/>
          <w:b/>
          <w:sz w:val="24"/>
          <w:szCs w:val="24"/>
          <w:lang w:val="en-US" w:eastAsia="zh-CN"/>
        </w:rPr>
        <w:t>人</w:t>
      </w:r>
      <w:r>
        <w:rPr>
          <w:rFonts w:hint="eastAsia" w:asciiTheme="minorEastAsia" w:hAnsiTheme="minorEastAsia"/>
          <w:b/>
          <w:sz w:val="24"/>
          <w:szCs w:val="24"/>
        </w:rPr>
        <w:t>宣布评审结果</w:t>
      </w:r>
    </w:p>
    <w:p w14:paraId="6D8E44B3">
      <w:pPr>
        <w:snapToGrid w:val="0"/>
        <w:spacing w:line="500" w:lineRule="exact"/>
        <w:rPr>
          <w:rFonts w:asciiTheme="minorEastAsia" w:hAnsiTheme="minorEastAsia"/>
          <w:b/>
          <w:sz w:val="24"/>
          <w:szCs w:val="24"/>
        </w:rPr>
      </w:pPr>
      <w:r>
        <w:rPr>
          <w:rFonts w:hint="eastAsia" w:asciiTheme="minorEastAsia" w:hAnsiTheme="minorEastAsia"/>
          <w:b/>
          <w:sz w:val="24"/>
          <w:szCs w:val="24"/>
        </w:rPr>
        <w:t>（五）公告成交结果</w:t>
      </w:r>
    </w:p>
    <w:p w14:paraId="1AF63D7D">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自确定成交供应商之日起2个工作日内，在</w:t>
      </w:r>
      <w:r>
        <w:rPr>
          <w:rFonts w:hint="eastAsia" w:cs="宋体" w:asciiTheme="minorEastAsia" w:hAnsiTheme="minorEastAsia"/>
          <w:kern w:val="0"/>
          <w:sz w:val="24"/>
          <w:szCs w:val="24"/>
        </w:rPr>
        <w:t>启东市自来水厂有限公司</w:t>
      </w:r>
      <w:r>
        <w:rPr>
          <w:rFonts w:hint="eastAsia" w:asciiTheme="minorEastAsia" w:hAnsiTheme="minorEastAsia"/>
          <w:sz w:val="24"/>
          <w:szCs w:val="24"/>
        </w:rPr>
        <w:t>网站公告成交结果，公告期限为1个工作日。</w:t>
      </w:r>
    </w:p>
    <w:p w14:paraId="06862CC1">
      <w:pPr>
        <w:snapToGrid w:val="0"/>
        <w:spacing w:line="500" w:lineRule="exact"/>
        <w:rPr>
          <w:rFonts w:asciiTheme="minorEastAsia" w:hAnsiTheme="minorEastAsia"/>
          <w:b/>
          <w:sz w:val="24"/>
          <w:szCs w:val="24"/>
        </w:rPr>
      </w:pPr>
      <w:r>
        <w:rPr>
          <w:rFonts w:hint="eastAsia" w:asciiTheme="minorEastAsia" w:hAnsiTheme="minorEastAsia"/>
          <w:b/>
          <w:sz w:val="24"/>
          <w:szCs w:val="24"/>
        </w:rPr>
        <w:t>（六）发放成交通知书</w:t>
      </w:r>
    </w:p>
    <w:p w14:paraId="71F24D1B">
      <w:pPr>
        <w:snapToGrid w:val="0"/>
        <w:spacing w:line="500" w:lineRule="exact"/>
        <w:ind w:firstLine="480" w:firstLineChars="200"/>
        <w:rPr>
          <w:rFonts w:asciiTheme="minorEastAsia" w:hAnsiTheme="minorEastAsia"/>
          <w:sz w:val="24"/>
          <w:szCs w:val="24"/>
        </w:rPr>
      </w:pPr>
      <w:r>
        <w:rPr>
          <w:rFonts w:asciiTheme="minorEastAsia" w:hAnsiTheme="minorEastAsia"/>
          <w:sz w:val="24"/>
          <w:szCs w:val="24"/>
        </w:rPr>
        <w:t>公告成交结果的同时，</w:t>
      </w:r>
      <w:r>
        <w:rPr>
          <w:rFonts w:hint="eastAsia" w:asciiTheme="minorEastAsia" w:hAnsiTheme="minorEastAsia"/>
          <w:sz w:val="24"/>
          <w:szCs w:val="24"/>
        </w:rPr>
        <w:t>采购人</w:t>
      </w:r>
      <w:r>
        <w:rPr>
          <w:rFonts w:asciiTheme="minorEastAsia" w:hAnsiTheme="minorEastAsia"/>
          <w:bCs/>
          <w:sz w:val="24"/>
          <w:szCs w:val="24"/>
        </w:rPr>
        <w:t>向成交供应商发放成交通知书</w:t>
      </w:r>
      <w:r>
        <w:rPr>
          <w:rFonts w:hint="eastAsia" w:asciiTheme="minorEastAsia" w:hAnsiTheme="minorEastAsia"/>
          <w:sz w:val="24"/>
          <w:szCs w:val="24"/>
        </w:rPr>
        <w:t>。</w:t>
      </w:r>
    </w:p>
    <w:p w14:paraId="38CD3493">
      <w:pPr>
        <w:snapToGrid w:val="0"/>
        <w:spacing w:line="500" w:lineRule="exact"/>
        <w:ind w:firstLine="480" w:firstLineChars="200"/>
        <w:rPr>
          <w:rFonts w:asciiTheme="minorEastAsia" w:hAnsiTheme="minorEastAsia"/>
          <w:sz w:val="28"/>
          <w:szCs w:val="28"/>
        </w:rPr>
      </w:pPr>
      <w:r>
        <w:rPr>
          <w:rFonts w:hint="eastAsia" w:asciiTheme="minorEastAsia" w:hAnsiTheme="minorEastAsia"/>
          <w:sz w:val="24"/>
          <w:szCs w:val="24"/>
        </w:rPr>
        <w:t>成交通知书发出后，采购人不得违法改变成交结果，成交供应商无正当理由不得放弃成交。</w:t>
      </w:r>
    </w:p>
    <w:p w14:paraId="717E8425">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 </w:t>
      </w:r>
    </w:p>
    <w:p w14:paraId="5B6EF9D3">
      <w:pPr>
        <w:snapToGrid w:val="0"/>
        <w:spacing w:line="500" w:lineRule="exact"/>
        <w:ind w:firstLine="420" w:firstLineChars="150"/>
        <w:rPr>
          <w:rFonts w:asciiTheme="minorEastAsia" w:hAnsiTheme="minorEastAsia"/>
          <w:sz w:val="28"/>
          <w:szCs w:val="28"/>
        </w:rPr>
      </w:pPr>
    </w:p>
    <w:p w14:paraId="4458DE68">
      <w:pPr>
        <w:snapToGrid w:val="0"/>
        <w:spacing w:line="500" w:lineRule="exact"/>
        <w:ind w:firstLine="420" w:firstLineChars="150"/>
        <w:rPr>
          <w:rFonts w:asciiTheme="minorEastAsia" w:hAnsiTheme="minorEastAsia"/>
          <w:sz w:val="28"/>
          <w:szCs w:val="28"/>
        </w:rPr>
      </w:pPr>
    </w:p>
    <w:p w14:paraId="53102F9D">
      <w:pPr>
        <w:pStyle w:val="2"/>
        <w:ind w:firstLine="0"/>
      </w:pPr>
    </w:p>
    <w:p w14:paraId="7941B897"/>
    <w:p w14:paraId="2CE5B182">
      <w:pPr>
        <w:pStyle w:val="2"/>
      </w:pPr>
    </w:p>
    <w:p w14:paraId="6FADDD37"/>
    <w:p w14:paraId="63D80961">
      <w:pPr>
        <w:pStyle w:val="2"/>
      </w:pPr>
    </w:p>
    <w:p w14:paraId="144AE193"/>
    <w:p w14:paraId="6806E6F7">
      <w:pPr>
        <w:pStyle w:val="2"/>
      </w:pPr>
    </w:p>
    <w:p w14:paraId="28433AE0"/>
    <w:p w14:paraId="599D9FF7">
      <w:pPr>
        <w:pStyle w:val="2"/>
      </w:pPr>
    </w:p>
    <w:p w14:paraId="6E195D11"/>
    <w:p w14:paraId="7C017CCA">
      <w:pPr>
        <w:pStyle w:val="2"/>
      </w:pPr>
    </w:p>
    <w:p w14:paraId="47F65259"/>
    <w:p w14:paraId="6C0F44F3">
      <w:pPr>
        <w:pStyle w:val="2"/>
      </w:pPr>
    </w:p>
    <w:p w14:paraId="0CAB07BE">
      <w:pPr>
        <w:snapToGrid w:val="0"/>
        <w:spacing w:line="500" w:lineRule="exact"/>
        <w:rPr>
          <w:rFonts w:asciiTheme="minorEastAsia" w:hAnsiTheme="minorEastAsia"/>
          <w:b/>
          <w:sz w:val="28"/>
          <w:szCs w:val="28"/>
        </w:rPr>
      </w:pPr>
    </w:p>
    <w:p w14:paraId="4A2CC9CD">
      <w:pPr>
        <w:snapToGrid w:val="0"/>
        <w:spacing w:line="500" w:lineRule="exact"/>
        <w:ind w:firstLine="422" w:firstLineChars="150"/>
        <w:jc w:val="center"/>
        <w:rPr>
          <w:rFonts w:asciiTheme="minorEastAsia" w:hAnsiTheme="minorEastAsia"/>
          <w:b/>
          <w:sz w:val="28"/>
          <w:szCs w:val="28"/>
        </w:rPr>
      </w:pPr>
    </w:p>
    <w:p w14:paraId="0ECC1289">
      <w:pPr>
        <w:snapToGrid w:val="0"/>
        <w:spacing w:line="500" w:lineRule="exact"/>
        <w:ind w:firstLine="422" w:firstLineChars="150"/>
        <w:jc w:val="center"/>
        <w:rPr>
          <w:rFonts w:asciiTheme="minorEastAsia" w:hAnsiTheme="minorEastAsia"/>
          <w:b/>
          <w:sz w:val="28"/>
          <w:szCs w:val="28"/>
        </w:rPr>
      </w:pPr>
    </w:p>
    <w:p w14:paraId="79B39159">
      <w:pPr>
        <w:snapToGrid w:val="0"/>
        <w:spacing w:line="500" w:lineRule="exact"/>
        <w:ind w:firstLine="422" w:firstLineChars="150"/>
        <w:jc w:val="center"/>
        <w:rPr>
          <w:rFonts w:asciiTheme="minorEastAsia" w:hAnsiTheme="minorEastAsia"/>
          <w:b/>
          <w:sz w:val="28"/>
          <w:szCs w:val="28"/>
        </w:rPr>
      </w:pPr>
    </w:p>
    <w:p w14:paraId="7D7566F9">
      <w:pPr>
        <w:snapToGrid w:val="0"/>
        <w:spacing w:line="500" w:lineRule="exact"/>
        <w:ind w:firstLine="422" w:firstLineChars="150"/>
        <w:jc w:val="center"/>
        <w:rPr>
          <w:rFonts w:asciiTheme="minorEastAsia" w:hAnsiTheme="minorEastAsia"/>
          <w:b/>
          <w:sz w:val="28"/>
          <w:szCs w:val="28"/>
        </w:rPr>
      </w:pPr>
    </w:p>
    <w:p w14:paraId="42B69779">
      <w:pPr>
        <w:snapToGrid w:val="0"/>
        <w:spacing w:line="500" w:lineRule="exact"/>
        <w:ind w:firstLine="422" w:firstLineChars="150"/>
        <w:jc w:val="center"/>
        <w:rPr>
          <w:rFonts w:asciiTheme="minorEastAsia" w:hAnsiTheme="minorEastAsia"/>
          <w:b/>
          <w:sz w:val="28"/>
          <w:szCs w:val="28"/>
        </w:rPr>
      </w:pPr>
    </w:p>
    <w:p w14:paraId="7AE0BD31">
      <w:pPr>
        <w:snapToGrid w:val="0"/>
        <w:spacing w:line="500" w:lineRule="exact"/>
        <w:rPr>
          <w:rFonts w:asciiTheme="minorEastAsia" w:hAnsiTheme="minorEastAsia"/>
          <w:b/>
          <w:sz w:val="28"/>
          <w:szCs w:val="28"/>
        </w:rPr>
      </w:pPr>
    </w:p>
    <w:p w14:paraId="26C2D4D0">
      <w:pPr>
        <w:snapToGrid w:val="0"/>
        <w:spacing w:line="500" w:lineRule="exact"/>
        <w:ind w:firstLine="422" w:firstLineChars="150"/>
        <w:jc w:val="center"/>
        <w:rPr>
          <w:rFonts w:asciiTheme="minorEastAsia" w:hAnsiTheme="minorEastAsia"/>
          <w:b/>
          <w:sz w:val="28"/>
          <w:szCs w:val="28"/>
        </w:rPr>
      </w:pPr>
      <w:r>
        <w:rPr>
          <w:rFonts w:hint="eastAsia" w:asciiTheme="minorEastAsia" w:hAnsiTheme="minorEastAsia"/>
          <w:b/>
          <w:sz w:val="28"/>
          <w:szCs w:val="28"/>
        </w:rPr>
        <w:t>第五部分  响应文件组成</w:t>
      </w:r>
    </w:p>
    <w:p w14:paraId="3C1E2AE6">
      <w:pPr>
        <w:snapToGrid w:val="0"/>
        <w:spacing w:beforeLines="50" w:line="500" w:lineRule="exact"/>
        <w:ind w:firstLine="482" w:firstLineChars="200"/>
        <w:jc w:val="left"/>
        <w:rPr>
          <w:rFonts w:asciiTheme="minorEastAsia" w:hAnsiTheme="minorEastAsia"/>
          <w:b/>
          <w:sz w:val="24"/>
          <w:szCs w:val="24"/>
        </w:rPr>
      </w:pPr>
      <w:r>
        <w:rPr>
          <w:rFonts w:hint="eastAsia" w:asciiTheme="minorEastAsia" w:hAnsiTheme="minorEastAsia"/>
          <w:b/>
          <w:sz w:val="24"/>
          <w:szCs w:val="24"/>
        </w:rPr>
        <w:t>响应文件由资格审查证明材料、价格标二部分组成。</w:t>
      </w:r>
    </w:p>
    <w:p w14:paraId="6CE3E199">
      <w:pPr>
        <w:snapToGrid w:val="0"/>
        <w:spacing w:line="500" w:lineRule="exact"/>
        <w:ind w:firstLine="482" w:firstLineChars="200"/>
        <w:jc w:val="left"/>
        <w:rPr>
          <w:rFonts w:asciiTheme="minorEastAsia" w:hAnsiTheme="minorEastAsia"/>
          <w:b/>
          <w:sz w:val="24"/>
          <w:szCs w:val="24"/>
        </w:rPr>
      </w:pPr>
      <w:r>
        <w:rPr>
          <w:rFonts w:hint="eastAsia" w:asciiTheme="minorEastAsia" w:hAnsiTheme="minorEastAsia"/>
          <w:b/>
          <w:sz w:val="24"/>
          <w:szCs w:val="24"/>
        </w:rPr>
        <w:t>一、资格审查证明材料（不能出现价格文件）</w:t>
      </w:r>
    </w:p>
    <w:p w14:paraId="457E41E1">
      <w:pPr>
        <w:snapToGrid w:val="0"/>
        <w:spacing w:line="500" w:lineRule="exact"/>
        <w:ind w:firstLine="480" w:firstLineChars="200"/>
        <w:jc w:val="left"/>
        <w:rPr>
          <w:rFonts w:asciiTheme="minorEastAsia" w:hAnsiTheme="minorEastAsia"/>
          <w:sz w:val="24"/>
          <w:szCs w:val="24"/>
        </w:rPr>
      </w:pPr>
      <w:r>
        <w:rPr>
          <w:rFonts w:hint="eastAsia" w:asciiTheme="minorEastAsia" w:hAnsiTheme="minorEastAsia"/>
          <w:sz w:val="24"/>
          <w:szCs w:val="24"/>
        </w:rPr>
        <w:t>1.竞谈承诺书（按照附件一格式填写）；</w:t>
      </w:r>
    </w:p>
    <w:p w14:paraId="7617A24C">
      <w:pPr>
        <w:snapToGrid w:val="0"/>
        <w:spacing w:line="500" w:lineRule="exact"/>
        <w:ind w:firstLine="480" w:firstLineChars="200"/>
        <w:jc w:val="left"/>
        <w:rPr>
          <w:rFonts w:asciiTheme="minorEastAsia" w:hAnsiTheme="minorEastAsia"/>
          <w:sz w:val="24"/>
          <w:szCs w:val="24"/>
        </w:rPr>
      </w:pPr>
      <w:r>
        <w:rPr>
          <w:rFonts w:hint="eastAsia" w:asciiTheme="minorEastAsia" w:hAnsiTheme="minorEastAsia"/>
          <w:sz w:val="24"/>
          <w:szCs w:val="24"/>
        </w:rPr>
        <w:t>2.法定代表人授权委托书及被授权人身份证正反面复印件（法定代表人授权委托书按照附件二格式填写，法定代表人亲自参加的，无需提供授权委托书；非法定代表人参加投标时提交）；</w:t>
      </w:r>
    </w:p>
    <w:p w14:paraId="759F0000">
      <w:pPr>
        <w:snapToGrid w:val="0"/>
        <w:spacing w:line="500" w:lineRule="exact"/>
        <w:ind w:firstLine="480" w:firstLineChars="200"/>
        <w:jc w:val="left"/>
        <w:rPr>
          <w:rFonts w:asciiTheme="minorEastAsia" w:hAnsiTheme="minorEastAsia"/>
          <w:sz w:val="24"/>
          <w:szCs w:val="24"/>
        </w:rPr>
      </w:pPr>
      <w:r>
        <w:rPr>
          <w:rFonts w:hint="eastAsia" w:asciiTheme="minorEastAsia" w:hAnsiTheme="minorEastAsia"/>
          <w:sz w:val="24"/>
          <w:szCs w:val="24"/>
        </w:rPr>
        <w:t>3.法定代表人身份证正反面复印件（无论法定代表人是否亲自参加谈判均需提供本项材料）；</w:t>
      </w:r>
    </w:p>
    <w:p w14:paraId="369620C0">
      <w:pPr>
        <w:snapToGrid w:val="0"/>
        <w:spacing w:line="500" w:lineRule="exact"/>
        <w:ind w:firstLine="480" w:firstLineChars="200"/>
        <w:jc w:val="left"/>
        <w:rPr>
          <w:rFonts w:asciiTheme="minorEastAsia" w:hAnsiTheme="minorEastAsia"/>
          <w:sz w:val="24"/>
          <w:szCs w:val="24"/>
        </w:rPr>
      </w:pPr>
      <w:r>
        <w:rPr>
          <w:rFonts w:hint="eastAsia" w:asciiTheme="minorEastAsia" w:hAnsiTheme="minorEastAsia"/>
          <w:sz w:val="24"/>
          <w:szCs w:val="24"/>
        </w:rPr>
        <w:t>4.有效的企业法人营业执照复印件；</w:t>
      </w:r>
    </w:p>
    <w:p w14:paraId="2C8A38E5">
      <w:pPr>
        <w:snapToGrid w:val="0"/>
        <w:spacing w:line="500" w:lineRule="exact"/>
        <w:ind w:firstLine="480" w:firstLineChars="200"/>
        <w:jc w:val="left"/>
        <w:rPr>
          <w:rFonts w:asciiTheme="minorEastAsia" w:hAnsiTheme="minorEastAsia"/>
          <w:sz w:val="24"/>
          <w:szCs w:val="24"/>
        </w:rPr>
      </w:pPr>
      <w:r>
        <w:rPr>
          <w:rFonts w:hint="eastAsia" w:asciiTheme="minorEastAsia" w:hAnsiTheme="minorEastAsia"/>
          <w:sz w:val="24"/>
          <w:szCs w:val="24"/>
        </w:rPr>
        <w:t>5.有效的网络安全等级测评与检测评估机构服务认证证书复印件；</w:t>
      </w:r>
    </w:p>
    <w:p w14:paraId="4465AC97">
      <w:pPr>
        <w:snapToGrid w:val="0"/>
        <w:spacing w:line="500" w:lineRule="exact"/>
        <w:ind w:firstLine="480" w:firstLineChars="200"/>
        <w:jc w:val="left"/>
        <w:rPr>
          <w:rFonts w:asciiTheme="minorEastAsia" w:hAnsiTheme="minorEastAsia"/>
          <w:sz w:val="24"/>
          <w:szCs w:val="24"/>
        </w:rPr>
      </w:pPr>
      <w:r>
        <w:rPr>
          <w:rFonts w:hint="eastAsia" w:asciiTheme="minorEastAsia" w:hAnsiTheme="minorEastAsia"/>
          <w:sz w:val="24"/>
          <w:szCs w:val="24"/>
        </w:rPr>
        <w:t>6.供应商参加政府采购活动前3年内在经营活动中没有重大违法记录和失信记录的书面声明（按照附件三格式填写）；</w:t>
      </w:r>
    </w:p>
    <w:p w14:paraId="660CB6AA">
      <w:pPr>
        <w:snapToGrid w:val="0"/>
        <w:spacing w:line="500" w:lineRule="exact"/>
        <w:ind w:firstLine="480" w:firstLineChars="200"/>
        <w:jc w:val="left"/>
        <w:rPr>
          <w:rFonts w:asciiTheme="minorEastAsia" w:hAnsiTheme="minorEastAsia"/>
          <w:sz w:val="24"/>
          <w:szCs w:val="24"/>
        </w:rPr>
      </w:pPr>
      <w:r>
        <w:rPr>
          <w:rFonts w:hint="eastAsia" w:asciiTheme="minorEastAsia" w:hAnsiTheme="minorEastAsia"/>
          <w:sz w:val="24"/>
          <w:szCs w:val="24"/>
        </w:rPr>
        <w:t>7.未被“信用中国”网站列入失信被执行人、重大税收违法案件当事人名单、政府采购严重失信行为记录名单（网络截图复印件，加盖公章）。</w:t>
      </w:r>
    </w:p>
    <w:p w14:paraId="259DEF56">
      <w:pPr>
        <w:snapToGrid w:val="0"/>
        <w:spacing w:line="500" w:lineRule="exact"/>
        <w:ind w:firstLine="482" w:firstLineChars="200"/>
        <w:jc w:val="left"/>
        <w:rPr>
          <w:rFonts w:asciiTheme="minorEastAsia" w:hAnsiTheme="minorEastAsia"/>
          <w:b/>
          <w:sz w:val="24"/>
          <w:szCs w:val="24"/>
        </w:rPr>
      </w:pPr>
      <w:r>
        <w:rPr>
          <w:rFonts w:hint="eastAsia" w:asciiTheme="minorEastAsia" w:hAnsiTheme="minorEastAsia"/>
          <w:b/>
          <w:sz w:val="24"/>
          <w:szCs w:val="24"/>
        </w:rPr>
        <w:t>注意：上述要求提供复印件的均需加盖单位公章，否则资格审查不通过。</w:t>
      </w:r>
    </w:p>
    <w:p w14:paraId="19DB0371">
      <w:pPr>
        <w:snapToGrid w:val="0"/>
        <w:spacing w:line="500" w:lineRule="exact"/>
        <w:ind w:firstLine="482" w:firstLineChars="200"/>
        <w:jc w:val="left"/>
        <w:rPr>
          <w:rFonts w:asciiTheme="minorEastAsia" w:hAnsiTheme="minorEastAsia"/>
          <w:b/>
          <w:sz w:val="24"/>
          <w:szCs w:val="24"/>
        </w:rPr>
      </w:pPr>
      <w:r>
        <w:rPr>
          <w:rFonts w:hint="eastAsia" w:asciiTheme="minorEastAsia" w:hAnsiTheme="minorEastAsia"/>
          <w:b/>
          <w:sz w:val="24"/>
          <w:szCs w:val="24"/>
        </w:rPr>
        <w:t>二、价格标</w:t>
      </w:r>
    </w:p>
    <w:p w14:paraId="7A1C6634">
      <w:pPr>
        <w:snapToGrid w:val="0"/>
        <w:spacing w:line="500" w:lineRule="exact"/>
        <w:ind w:firstLine="480" w:firstLineChars="200"/>
        <w:jc w:val="left"/>
        <w:rPr>
          <w:rFonts w:asciiTheme="minorEastAsia" w:hAnsiTheme="minorEastAsia"/>
          <w:sz w:val="24"/>
          <w:szCs w:val="24"/>
        </w:rPr>
      </w:pPr>
      <w:r>
        <w:rPr>
          <w:rFonts w:hint="eastAsia" w:asciiTheme="minorEastAsia" w:hAnsiTheme="minorEastAsia"/>
          <w:sz w:val="24"/>
          <w:szCs w:val="24"/>
        </w:rPr>
        <w:t>1.谈判报价表（按照附件四格式填写）；</w:t>
      </w:r>
    </w:p>
    <w:p w14:paraId="06195292">
      <w:pPr>
        <w:snapToGrid w:val="0"/>
        <w:spacing w:line="500" w:lineRule="exact"/>
        <w:ind w:firstLine="480" w:firstLineChars="200"/>
        <w:jc w:val="left"/>
        <w:rPr>
          <w:rFonts w:asciiTheme="minorEastAsia" w:hAnsiTheme="minorEastAsia"/>
          <w:color w:val="FF0000"/>
          <w:sz w:val="24"/>
          <w:szCs w:val="24"/>
        </w:rPr>
      </w:pPr>
      <w:r>
        <w:rPr>
          <w:rFonts w:hint="eastAsia" w:asciiTheme="minorEastAsia" w:hAnsiTheme="minorEastAsia"/>
          <w:sz w:val="24"/>
          <w:szCs w:val="24"/>
        </w:rPr>
        <w:t>2.最后报价一览表（按照附件五格式填写），</w:t>
      </w:r>
      <w:r>
        <w:rPr>
          <w:rFonts w:hint="eastAsia" w:ascii="宋体" w:hAnsi="宋体" w:eastAsia="宋体" w:cs="Times New Roman"/>
          <w:b/>
          <w:bCs/>
          <w:color w:val="000000" w:themeColor="text1"/>
          <w:sz w:val="24"/>
          <w:szCs w:val="24"/>
        </w:rPr>
        <w:t>供应商可按以上格式制作“最后报价一览表”，提前加盖公章，须在开标现场填写最后报价。</w:t>
      </w:r>
    </w:p>
    <w:p w14:paraId="1E160024">
      <w:pPr>
        <w:snapToGrid w:val="0"/>
        <w:spacing w:line="500" w:lineRule="exact"/>
        <w:rPr>
          <w:rFonts w:asciiTheme="minorEastAsia" w:hAnsiTheme="minorEastAsia"/>
          <w:sz w:val="28"/>
          <w:szCs w:val="28"/>
        </w:rPr>
      </w:pPr>
    </w:p>
    <w:p w14:paraId="5E23A2B4">
      <w:pPr>
        <w:pStyle w:val="2"/>
      </w:pPr>
    </w:p>
    <w:p w14:paraId="0D74F73B"/>
    <w:p w14:paraId="49040078">
      <w:pPr>
        <w:snapToGrid w:val="0"/>
        <w:spacing w:line="500" w:lineRule="exact"/>
        <w:rPr>
          <w:rFonts w:asciiTheme="minorEastAsia" w:hAnsiTheme="minorEastAsia"/>
          <w:sz w:val="28"/>
          <w:szCs w:val="28"/>
        </w:rPr>
      </w:pPr>
    </w:p>
    <w:p w14:paraId="2CEFE6A5"/>
    <w:p w14:paraId="6664D41F">
      <w:pPr>
        <w:pStyle w:val="2"/>
      </w:pPr>
    </w:p>
    <w:p w14:paraId="4795CCE0"/>
    <w:p w14:paraId="0A9AECA1">
      <w:pPr>
        <w:pStyle w:val="2"/>
      </w:pPr>
    </w:p>
    <w:p w14:paraId="021923D8">
      <w:pPr>
        <w:pStyle w:val="2"/>
      </w:pPr>
    </w:p>
    <w:p w14:paraId="7181A651">
      <w:pPr>
        <w:spacing w:line="500" w:lineRule="exact"/>
        <w:rPr>
          <w:rFonts w:hint="eastAsia" w:ascii="宋体" w:hAnsi="宋体" w:eastAsia="宋体" w:cs="Times New Roman"/>
          <w:sz w:val="28"/>
          <w:szCs w:val="28"/>
        </w:rPr>
      </w:pPr>
    </w:p>
    <w:p w14:paraId="2EA3EBD9">
      <w:pPr>
        <w:spacing w:line="500" w:lineRule="exact"/>
        <w:rPr>
          <w:rFonts w:ascii="宋体" w:hAnsi="宋体" w:eastAsia="宋体" w:cs="Times New Roman"/>
          <w:sz w:val="28"/>
          <w:szCs w:val="28"/>
        </w:rPr>
      </w:pPr>
      <w:bookmarkStart w:id="0" w:name="_GoBack"/>
      <w:bookmarkEnd w:id="0"/>
      <w:r>
        <w:rPr>
          <w:rFonts w:hint="eastAsia" w:ascii="宋体" w:hAnsi="宋体" w:eastAsia="宋体" w:cs="Times New Roman"/>
          <w:sz w:val="28"/>
          <w:szCs w:val="28"/>
        </w:rPr>
        <w:t>附件一：</w:t>
      </w:r>
    </w:p>
    <w:p w14:paraId="26F7F80E">
      <w:pPr>
        <w:spacing w:line="500" w:lineRule="exact"/>
        <w:ind w:firstLine="643" w:firstLineChars="200"/>
        <w:jc w:val="center"/>
        <w:rPr>
          <w:rFonts w:ascii="宋体" w:hAnsi="宋体" w:eastAsia="宋体" w:cs="Times New Roman"/>
          <w:sz w:val="28"/>
          <w:szCs w:val="28"/>
          <w:shd w:val="clear" w:color="auto" w:fill="FFFFFF"/>
        </w:rPr>
      </w:pPr>
      <w:r>
        <w:rPr>
          <w:rFonts w:hint="eastAsia" w:ascii="宋体" w:hAnsi="宋体" w:eastAsia="宋体" w:cs="Times New Roman"/>
          <w:b/>
          <w:sz w:val="32"/>
          <w:szCs w:val="32"/>
        </w:rPr>
        <w:t>竞谈承诺书</w:t>
      </w:r>
    </w:p>
    <w:p w14:paraId="6280F177">
      <w:pPr>
        <w:widowControl/>
        <w:spacing w:line="500" w:lineRule="exact"/>
        <w:jc w:val="left"/>
        <w:rPr>
          <w:rFonts w:ascii="宋体" w:hAnsi="宋体" w:eastAsia="宋体" w:cs="Times New Roman"/>
          <w:spacing w:val="-11"/>
          <w:sz w:val="24"/>
          <w:szCs w:val="24"/>
          <w:u w:val="single"/>
          <w:shd w:val="clear" w:color="auto" w:fill="FFFFFF"/>
        </w:rPr>
      </w:pPr>
      <w:r>
        <w:rPr>
          <w:rFonts w:hint="eastAsia" w:ascii="宋体" w:hAnsi="宋体" w:eastAsia="宋体" w:cs="Times New Roman"/>
          <w:spacing w:val="-11"/>
          <w:sz w:val="24"/>
          <w:szCs w:val="24"/>
          <w:u w:val="single"/>
          <w:shd w:val="clear" w:color="auto" w:fill="FFFFFF"/>
        </w:rPr>
        <w:t>启东市自来水厂有限公司：</w:t>
      </w:r>
    </w:p>
    <w:p w14:paraId="19C79D38">
      <w:pPr>
        <w:widowControl/>
        <w:spacing w:line="500" w:lineRule="exact"/>
        <w:ind w:firstLine="480" w:firstLineChars="200"/>
        <w:jc w:val="left"/>
        <w:rPr>
          <w:rFonts w:ascii="宋体" w:hAnsi="宋体" w:eastAsia="宋体" w:cs="Times New Roman"/>
          <w:sz w:val="24"/>
          <w:szCs w:val="24"/>
          <w:shd w:val="clear" w:color="auto" w:fill="FFFFFF"/>
        </w:rPr>
      </w:pPr>
      <w:r>
        <w:rPr>
          <w:rFonts w:hint="eastAsia" w:ascii="宋体" w:hAnsi="宋体" w:eastAsia="宋体" w:cs="Times New Roman"/>
          <w:sz w:val="24"/>
          <w:szCs w:val="24"/>
          <w:shd w:val="clear" w:color="auto" w:fill="FFFFFF"/>
        </w:rPr>
        <w:t>我们已收到你们关于</w:t>
      </w:r>
      <w:r>
        <w:rPr>
          <w:rFonts w:hint="eastAsia" w:ascii="宋体" w:hAnsi="宋体" w:eastAsia="宋体" w:cs="Times New Roman"/>
          <w:sz w:val="24"/>
          <w:szCs w:val="24"/>
          <w:u w:val="single"/>
          <w:shd w:val="clear" w:color="auto" w:fill="FFFFFF"/>
        </w:rPr>
        <w:t>启东市自来水厂有限公司</w:t>
      </w:r>
      <w:r>
        <w:rPr>
          <w:rFonts w:hint="eastAsia" w:ascii="宋体" w:hAnsi="宋体" w:eastAsia="宋体" w:cs="Times New Roman"/>
          <w:sz w:val="24"/>
          <w:szCs w:val="24"/>
          <w:u w:val="single"/>
          <w:shd w:val="clear" w:color="auto" w:fill="FFFFFF"/>
          <w:lang w:eastAsia="zh-CN"/>
        </w:rPr>
        <w:t>2025-2026</w:t>
      </w:r>
      <w:r>
        <w:rPr>
          <w:rFonts w:hint="eastAsia" w:ascii="宋体" w:hAnsi="宋体" w:eastAsia="宋体" w:cs="Times New Roman"/>
          <w:sz w:val="24"/>
          <w:szCs w:val="24"/>
          <w:u w:val="single"/>
          <w:shd w:val="clear" w:color="auto" w:fill="FFFFFF"/>
        </w:rPr>
        <w:t>年度收费系统、集抄平台的三级等保测评项目</w:t>
      </w:r>
      <w:r>
        <w:rPr>
          <w:rFonts w:hint="eastAsia" w:ascii="宋体" w:hAnsi="宋体" w:eastAsia="宋体" w:cs="Times New Roman"/>
          <w:sz w:val="24"/>
          <w:szCs w:val="24"/>
          <w:shd w:val="clear" w:color="auto" w:fill="FFFFFF"/>
        </w:rPr>
        <w:t>的谈判文件，经仔细阅读研究，我们决定参加投标，并作如下承诺：</w:t>
      </w:r>
    </w:p>
    <w:p w14:paraId="7A9E95F2">
      <w:pPr>
        <w:widowControl/>
        <w:spacing w:line="500" w:lineRule="exact"/>
        <w:ind w:firstLine="480" w:firstLineChars="200"/>
        <w:jc w:val="left"/>
        <w:rPr>
          <w:rFonts w:ascii="宋体" w:hAnsi="宋体" w:eastAsia="宋体" w:cs="Times New Roman"/>
          <w:sz w:val="24"/>
          <w:szCs w:val="24"/>
          <w:shd w:val="clear" w:color="auto" w:fill="FFFFFF"/>
        </w:rPr>
      </w:pPr>
      <w:r>
        <w:rPr>
          <w:rFonts w:hint="eastAsia" w:ascii="宋体" w:hAnsi="宋体" w:eastAsia="宋体" w:cs="Times New Roman"/>
          <w:sz w:val="24"/>
          <w:szCs w:val="24"/>
          <w:shd w:val="clear" w:color="auto" w:fill="FFFFFF"/>
        </w:rPr>
        <w:t>1.愿意按照谈判文件的一切要求，参与投标。</w:t>
      </w:r>
    </w:p>
    <w:p w14:paraId="395DF17F">
      <w:pPr>
        <w:widowControl/>
        <w:spacing w:line="500" w:lineRule="exact"/>
        <w:ind w:firstLine="480" w:firstLineChars="200"/>
        <w:jc w:val="left"/>
        <w:rPr>
          <w:rFonts w:ascii="宋体" w:hAnsi="宋体" w:eastAsia="宋体" w:cs="Times New Roman"/>
          <w:sz w:val="24"/>
          <w:szCs w:val="24"/>
          <w:shd w:val="clear" w:color="auto" w:fill="FFFFFF"/>
        </w:rPr>
      </w:pPr>
      <w:r>
        <w:rPr>
          <w:rFonts w:hint="eastAsia" w:ascii="宋体" w:hAnsi="宋体" w:eastAsia="宋体" w:cs="Times New Roman"/>
          <w:sz w:val="24"/>
          <w:szCs w:val="24"/>
          <w:shd w:val="clear" w:color="auto" w:fill="FFFFFF"/>
        </w:rPr>
        <w:t>2.我方的谈判响应文件自开标后60天内有效。</w:t>
      </w:r>
    </w:p>
    <w:p w14:paraId="4E8235BD">
      <w:pPr>
        <w:widowControl/>
        <w:spacing w:line="500" w:lineRule="exact"/>
        <w:ind w:firstLine="480" w:firstLineChars="200"/>
        <w:jc w:val="left"/>
        <w:rPr>
          <w:rFonts w:ascii="宋体" w:hAnsi="宋体" w:eastAsia="宋体" w:cs="Times New Roman"/>
          <w:sz w:val="24"/>
          <w:szCs w:val="24"/>
          <w:shd w:val="clear" w:color="auto" w:fill="FFFFFF"/>
        </w:rPr>
      </w:pPr>
      <w:r>
        <w:rPr>
          <w:rFonts w:hint="eastAsia" w:ascii="宋体" w:hAnsi="宋体" w:eastAsia="宋体" w:cs="Times New Roman"/>
          <w:sz w:val="24"/>
          <w:szCs w:val="24"/>
          <w:shd w:val="clear" w:color="auto" w:fill="FFFFFF"/>
        </w:rPr>
        <w:t>3.如果我们的谈判响应文件被接受，我们将严格履行谈判文件中规定的每一项要求，按期、按质、按量履行义务。</w:t>
      </w:r>
    </w:p>
    <w:p w14:paraId="138E52EE">
      <w:pPr>
        <w:widowControl/>
        <w:spacing w:line="500" w:lineRule="exact"/>
        <w:ind w:firstLine="480" w:firstLineChars="200"/>
        <w:jc w:val="left"/>
        <w:rPr>
          <w:rFonts w:ascii="宋体" w:hAnsi="宋体" w:eastAsia="宋体" w:cs="Times New Roman"/>
          <w:sz w:val="24"/>
          <w:szCs w:val="24"/>
          <w:shd w:val="clear" w:color="auto" w:fill="FFFFFF"/>
        </w:rPr>
      </w:pPr>
      <w:r>
        <w:rPr>
          <w:rFonts w:hint="eastAsia" w:ascii="宋体" w:hAnsi="宋体" w:eastAsia="宋体" w:cs="Times New Roman"/>
          <w:sz w:val="24"/>
          <w:szCs w:val="24"/>
          <w:shd w:val="clear" w:color="auto" w:fill="FFFFFF"/>
        </w:rPr>
        <w:t>4.我们愿意提供在谈判文件中要求的所有服务。</w:t>
      </w:r>
    </w:p>
    <w:p w14:paraId="76EA4AB9">
      <w:pPr>
        <w:widowControl/>
        <w:spacing w:line="500" w:lineRule="exact"/>
        <w:ind w:firstLine="480" w:firstLineChars="200"/>
        <w:jc w:val="left"/>
        <w:rPr>
          <w:rFonts w:ascii="宋体" w:hAnsi="宋体" w:eastAsia="宋体" w:cs="Times New Roman"/>
          <w:sz w:val="24"/>
          <w:szCs w:val="24"/>
          <w:shd w:val="clear" w:color="auto" w:fill="FFFFFF"/>
        </w:rPr>
      </w:pPr>
      <w:r>
        <w:rPr>
          <w:rFonts w:hint="eastAsia" w:ascii="宋体" w:hAnsi="宋体" w:eastAsia="宋体" w:cs="Times New Roman"/>
          <w:sz w:val="24"/>
          <w:szCs w:val="24"/>
          <w:shd w:val="clear" w:color="auto" w:fill="FFFFFF"/>
        </w:rPr>
        <w:t>5.我们同意你们的确定成交供应商的方式。</w:t>
      </w:r>
    </w:p>
    <w:p w14:paraId="7AE3026A">
      <w:pPr>
        <w:widowControl/>
        <w:spacing w:line="500" w:lineRule="exact"/>
        <w:ind w:firstLine="480" w:firstLineChars="200"/>
        <w:jc w:val="left"/>
        <w:rPr>
          <w:rFonts w:ascii="宋体" w:hAnsi="宋体" w:eastAsia="宋体" w:cs="Times New Roman"/>
          <w:sz w:val="24"/>
          <w:szCs w:val="24"/>
          <w:shd w:val="clear" w:color="auto" w:fill="FFFFFF"/>
        </w:rPr>
      </w:pPr>
      <w:r>
        <w:rPr>
          <w:rFonts w:hint="eastAsia" w:ascii="宋体" w:hAnsi="宋体" w:eastAsia="宋体" w:cs="Times New Roman"/>
          <w:sz w:val="24"/>
          <w:szCs w:val="24"/>
          <w:shd w:val="clear" w:color="auto" w:fill="FFFFFF"/>
        </w:rPr>
        <w:t>6.如被确定为成交供应商，愿意在签订合同前向采购人交纳履约保证金，如无法按期完成服务，采购人可对履约保证金作不予退还处理并报相关部门予以处罚；如逾期完成合同任务，采购人可按谈判文件予以处理。</w:t>
      </w:r>
    </w:p>
    <w:p w14:paraId="0CE1512B">
      <w:pPr>
        <w:widowControl/>
        <w:spacing w:line="500" w:lineRule="exact"/>
        <w:ind w:firstLine="480" w:firstLineChars="200"/>
        <w:jc w:val="left"/>
        <w:rPr>
          <w:rFonts w:ascii="宋体" w:hAnsi="宋体" w:eastAsia="宋体" w:cs="Times New Roman"/>
          <w:sz w:val="24"/>
          <w:szCs w:val="24"/>
          <w:shd w:val="clear" w:color="auto" w:fill="FFFFFF"/>
        </w:rPr>
      </w:pPr>
      <w:r>
        <w:rPr>
          <w:rFonts w:hint="eastAsia" w:ascii="宋体" w:hAnsi="宋体" w:eastAsia="宋体" w:cs="Times New Roman"/>
          <w:sz w:val="24"/>
          <w:szCs w:val="24"/>
          <w:shd w:val="clear" w:color="auto" w:fill="FFFFFF"/>
        </w:rPr>
        <w:t>8.有关谈判事项的函电，请按下列方式联系：</w:t>
      </w:r>
    </w:p>
    <w:p w14:paraId="56163A61">
      <w:pPr>
        <w:pStyle w:val="2"/>
      </w:pPr>
    </w:p>
    <w:p w14:paraId="67BEB2CB">
      <w:pPr>
        <w:widowControl/>
        <w:spacing w:line="500" w:lineRule="exact"/>
        <w:ind w:firstLine="480" w:firstLineChars="200"/>
        <w:jc w:val="left"/>
        <w:rPr>
          <w:rFonts w:ascii="宋体" w:hAnsi="宋体" w:eastAsia="宋体" w:cs="Times New Roman"/>
          <w:sz w:val="24"/>
          <w:szCs w:val="24"/>
          <w:shd w:val="clear" w:color="auto" w:fill="FFFFFF"/>
        </w:rPr>
      </w:pPr>
      <w:r>
        <w:rPr>
          <w:rFonts w:hint="eastAsia" w:ascii="宋体" w:hAnsi="宋体" w:eastAsia="宋体" w:cs="Times New Roman"/>
          <w:sz w:val="24"/>
          <w:szCs w:val="24"/>
          <w:shd w:val="clear" w:color="auto" w:fill="FFFFFF"/>
        </w:rPr>
        <w:t>单位：  邮编： 电话：</w:t>
      </w:r>
    </w:p>
    <w:p w14:paraId="617F6857">
      <w:pPr>
        <w:widowControl/>
        <w:spacing w:line="500" w:lineRule="exact"/>
        <w:ind w:firstLine="480" w:firstLineChars="200"/>
        <w:jc w:val="left"/>
        <w:rPr>
          <w:rFonts w:ascii="宋体" w:hAnsi="宋体" w:eastAsia="宋体" w:cs="Times New Roman"/>
          <w:sz w:val="24"/>
          <w:szCs w:val="24"/>
          <w:u w:val="single"/>
          <w:shd w:val="clear" w:color="auto" w:fill="FFFFFF"/>
        </w:rPr>
      </w:pPr>
      <w:r>
        <w:rPr>
          <w:rFonts w:hint="eastAsia" w:ascii="宋体" w:hAnsi="宋体" w:eastAsia="宋体" w:cs="Times New Roman"/>
          <w:sz w:val="24"/>
          <w:szCs w:val="24"/>
          <w:shd w:val="clear" w:color="auto" w:fill="FFFFFF"/>
        </w:rPr>
        <w:t>传真：  联系人： 地址：</w:t>
      </w:r>
    </w:p>
    <w:p w14:paraId="2848C48A">
      <w:pPr>
        <w:widowControl/>
        <w:spacing w:line="500" w:lineRule="exact"/>
        <w:ind w:firstLine="480" w:firstLineChars="200"/>
        <w:jc w:val="left"/>
        <w:rPr>
          <w:rFonts w:ascii="宋体" w:hAnsi="宋体" w:eastAsia="宋体" w:cs="Times New Roman"/>
          <w:sz w:val="24"/>
          <w:szCs w:val="24"/>
          <w:shd w:val="clear" w:color="auto" w:fill="FFFFFF"/>
        </w:rPr>
      </w:pPr>
      <w:r>
        <w:rPr>
          <w:rFonts w:hint="eastAsia" w:ascii="宋体" w:hAnsi="宋体" w:eastAsia="宋体" w:cs="Times New Roman"/>
          <w:sz w:val="24"/>
          <w:szCs w:val="24"/>
          <w:shd w:val="clear" w:color="auto" w:fill="FFFFFF"/>
        </w:rPr>
        <w:t>供应商（盖章）：</w:t>
      </w:r>
    </w:p>
    <w:p w14:paraId="60CA8CD1">
      <w:pPr>
        <w:widowControl/>
        <w:spacing w:line="500" w:lineRule="exact"/>
        <w:ind w:firstLine="480" w:firstLineChars="200"/>
        <w:jc w:val="left"/>
        <w:rPr>
          <w:rFonts w:ascii="宋体" w:hAnsi="宋体" w:eastAsia="宋体" w:cs="Times New Roman"/>
          <w:sz w:val="24"/>
          <w:szCs w:val="24"/>
          <w:shd w:val="clear" w:color="auto" w:fill="FFFFFF"/>
        </w:rPr>
      </w:pPr>
      <w:r>
        <w:rPr>
          <w:rFonts w:hint="eastAsia" w:ascii="宋体" w:hAnsi="宋体" w:eastAsia="宋体" w:cs="Times New Roman"/>
          <w:sz w:val="24"/>
          <w:szCs w:val="24"/>
          <w:shd w:val="clear" w:color="auto" w:fill="FFFFFF"/>
        </w:rPr>
        <w:t>法定代表人（签字或盖章）：</w:t>
      </w:r>
    </w:p>
    <w:p w14:paraId="7A3CFE9B">
      <w:pPr>
        <w:widowControl/>
        <w:spacing w:line="500" w:lineRule="exact"/>
        <w:ind w:firstLine="480" w:firstLineChars="200"/>
        <w:jc w:val="left"/>
        <w:rPr>
          <w:rFonts w:ascii="宋体" w:hAnsi="宋体" w:eastAsia="宋体" w:cs="Times New Roman"/>
          <w:sz w:val="24"/>
          <w:szCs w:val="24"/>
          <w:shd w:val="clear" w:color="auto" w:fill="FFFFFF"/>
        </w:rPr>
      </w:pPr>
      <w:r>
        <w:rPr>
          <w:rFonts w:hint="eastAsia" w:ascii="宋体" w:hAnsi="宋体" w:eastAsia="宋体" w:cs="Times New Roman"/>
          <w:sz w:val="24"/>
          <w:szCs w:val="24"/>
          <w:shd w:val="clear" w:color="auto" w:fill="FFFFFF"/>
        </w:rPr>
        <w:t>受托代理人（签字或盖章）：</w:t>
      </w:r>
    </w:p>
    <w:p w14:paraId="3AD9184F">
      <w:pPr>
        <w:widowControl/>
        <w:spacing w:line="500" w:lineRule="exact"/>
        <w:ind w:firstLine="480" w:firstLineChars="200"/>
        <w:jc w:val="left"/>
        <w:rPr>
          <w:rFonts w:ascii="宋体" w:hAnsi="宋体" w:eastAsia="宋体" w:cs="Times New Roman"/>
          <w:sz w:val="24"/>
          <w:szCs w:val="24"/>
          <w:shd w:val="clear" w:color="auto" w:fill="FFFFFF"/>
        </w:rPr>
      </w:pPr>
      <w:r>
        <w:rPr>
          <w:rFonts w:hint="eastAsia" w:ascii="宋体" w:hAnsi="宋体" w:eastAsia="宋体" w:cs="Times New Roman"/>
          <w:sz w:val="24"/>
          <w:szCs w:val="24"/>
          <w:shd w:val="clear" w:color="auto" w:fill="FFFFFF"/>
        </w:rPr>
        <w:t>时间：   年  月  日</w:t>
      </w:r>
    </w:p>
    <w:p w14:paraId="2BBF1047">
      <w:pPr>
        <w:spacing w:line="500" w:lineRule="exact"/>
        <w:rPr>
          <w:rFonts w:ascii="宋体" w:hAnsi="宋体" w:eastAsia="宋体" w:cs="Times New Roman"/>
          <w:sz w:val="28"/>
          <w:szCs w:val="28"/>
        </w:rPr>
      </w:pPr>
    </w:p>
    <w:p w14:paraId="61985471">
      <w:pPr>
        <w:spacing w:line="500" w:lineRule="exact"/>
        <w:rPr>
          <w:rFonts w:ascii="宋体" w:hAnsi="宋体" w:eastAsia="宋体" w:cs="Times New Roman"/>
          <w:sz w:val="28"/>
          <w:szCs w:val="28"/>
        </w:rPr>
      </w:pPr>
    </w:p>
    <w:p w14:paraId="1ADF4C2A">
      <w:pPr>
        <w:pStyle w:val="2"/>
      </w:pPr>
    </w:p>
    <w:p w14:paraId="416A414B"/>
    <w:p w14:paraId="0065C98B">
      <w:pPr>
        <w:pStyle w:val="2"/>
      </w:pPr>
    </w:p>
    <w:p w14:paraId="3F66F419"/>
    <w:p w14:paraId="0A27F644">
      <w:pPr>
        <w:spacing w:line="500" w:lineRule="exact"/>
        <w:rPr>
          <w:rFonts w:hint="eastAsia" w:ascii="宋体" w:hAnsi="宋体" w:eastAsia="宋体" w:cs="Times New Roman"/>
          <w:sz w:val="28"/>
          <w:szCs w:val="28"/>
        </w:rPr>
      </w:pPr>
    </w:p>
    <w:p w14:paraId="63756A97">
      <w:pPr>
        <w:spacing w:line="500" w:lineRule="exact"/>
        <w:rPr>
          <w:rFonts w:ascii="宋体" w:hAnsi="宋体" w:eastAsia="宋体" w:cs="Times New Roman"/>
          <w:sz w:val="28"/>
          <w:szCs w:val="28"/>
        </w:rPr>
      </w:pPr>
      <w:r>
        <w:rPr>
          <w:rFonts w:hint="eastAsia" w:ascii="宋体" w:hAnsi="宋体" w:eastAsia="宋体" w:cs="Times New Roman"/>
          <w:sz w:val="28"/>
          <w:szCs w:val="28"/>
        </w:rPr>
        <w:t>附件二：</w:t>
      </w:r>
    </w:p>
    <w:p w14:paraId="756C081A">
      <w:pPr>
        <w:spacing w:line="500" w:lineRule="exact"/>
        <w:rPr>
          <w:rFonts w:ascii="宋体" w:hAnsi="宋体" w:eastAsia="宋体" w:cs="Times New Roman"/>
          <w:sz w:val="28"/>
          <w:szCs w:val="28"/>
        </w:rPr>
      </w:pPr>
    </w:p>
    <w:p w14:paraId="59119170">
      <w:pPr>
        <w:spacing w:line="500" w:lineRule="exact"/>
        <w:ind w:firstLine="643" w:firstLineChars="200"/>
        <w:jc w:val="center"/>
        <w:rPr>
          <w:rFonts w:ascii="宋体" w:hAnsi="宋体" w:eastAsia="宋体" w:cs="Times New Roman"/>
          <w:b/>
          <w:sz w:val="32"/>
          <w:szCs w:val="32"/>
        </w:rPr>
      </w:pPr>
      <w:r>
        <w:rPr>
          <w:rFonts w:hint="eastAsia" w:ascii="宋体" w:hAnsi="宋体" w:eastAsia="宋体" w:cs="Times New Roman"/>
          <w:b/>
          <w:sz w:val="32"/>
          <w:szCs w:val="32"/>
        </w:rPr>
        <w:t>法定代表人授权委托书</w:t>
      </w:r>
    </w:p>
    <w:p w14:paraId="43DECEE6">
      <w:pPr>
        <w:spacing w:line="500" w:lineRule="exact"/>
        <w:rPr>
          <w:rFonts w:ascii="宋体" w:hAnsi="宋体" w:eastAsia="宋体" w:cs="Times New Roman"/>
          <w:sz w:val="28"/>
          <w:szCs w:val="28"/>
        </w:rPr>
      </w:pPr>
    </w:p>
    <w:p w14:paraId="620CD0CC">
      <w:pPr>
        <w:widowControl/>
        <w:spacing w:line="500" w:lineRule="exact"/>
        <w:jc w:val="left"/>
        <w:rPr>
          <w:rFonts w:ascii="宋体" w:hAnsi="宋体" w:eastAsia="宋体" w:cs="Times New Roman"/>
          <w:sz w:val="24"/>
          <w:szCs w:val="24"/>
          <w:u w:val="single"/>
          <w:shd w:val="clear" w:color="auto" w:fill="FFFFFF"/>
        </w:rPr>
      </w:pPr>
      <w:r>
        <w:rPr>
          <w:rFonts w:hint="eastAsia" w:ascii="宋体" w:hAnsi="宋体" w:eastAsia="宋体" w:cs="Times New Roman"/>
          <w:spacing w:val="-11"/>
          <w:sz w:val="24"/>
          <w:szCs w:val="24"/>
          <w:u w:val="single"/>
          <w:shd w:val="clear" w:color="auto" w:fill="FFFFFF"/>
        </w:rPr>
        <w:t>启东市自来水厂有限公司：</w:t>
      </w:r>
    </w:p>
    <w:p w14:paraId="2490B700">
      <w:pPr>
        <w:widowControl/>
        <w:spacing w:line="500" w:lineRule="exact"/>
        <w:ind w:firstLine="480" w:firstLineChars="200"/>
        <w:jc w:val="left"/>
        <w:rPr>
          <w:rFonts w:ascii="宋体" w:hAnsi="宋体" w:eastAsia="宋体" w:cs="Times New Roman"/>
          <w:sz w:val="24"/>
          <w:szCs w:val="24"/>
          <w:u w:val="single"/>
          <w:shd w:val="clear" w:color="auto" w:fill="FFFFFF"/>
        </w:rPr>
      </w:pPr>
      <w:r>
        <w:rPr>
          <w:rFonts w:hint="eastAsia" w:ascii="宋体" w:hAnsi="宋体" w:eastAsia="宋体" w:cs="Times New Roman"/>
          <w:sz w:val="24"/>
          <w:szCs w:val="24"/>
          <w:u w:val="single"/>
        </w:rPr>
        <w:t xml:space="preserve">  （报价单位名称）  </w:t>
      </w:r>
      <w:r>
        <w:rPr>
          <w:rFonts w:hint="eastAsia" w:ascii="宋体" w:hAnsi="宋体" w:eastAsia="宋体" w:cs="Times New Roman"/>
          <w:sz w:val="24"/>
          <w:szCs w:val="24"/>
        </w:rPr>
        <w:t>中华人民共和国合法企业，法定地址：</w:t>
      </w:r>
      <w:r>
        <w:rPr>
          <w:rFonts w:hint="eastAsia" w:ascii="宋体" w:hAnsi="宋体" w:eastAsia="宋体" w:cs="Times New Roman"/>
          <w:sz w:val="24"/>
          <w:szCs w:val="24"/>
          <w:u w:val="single"/>
        </w:rPr>
        <w:t xml:space="preserve">   （报价单位地址） </w:t>
      </w:r>
      <w:r>
        <w:rPr>
          <w:rFonts w:hint="eastAsia" w:ascii="宋体" w:hAnsi="宋体" w:eastAsia="宋体" w:cs="Times New Roman"/>
          <w:sz w:val="24"/>
          <w:szCs w:val="24"/>
          <w:shd w:val="clear" w:color="auto" w:fill="FFFFFF"/>
        </w:rPr>
        <w:t>特授权</w:t>
      </w:r>
      <w:r>
        <w:rPr>
          <w:rFonts w:hint="eastAsia" w:ascii="宋体" w:hAnsi="宋体" w:eastAsia="宋体" w:cs="Times New Roman"/>
          <w:sz w:val="24"/>
          <w:szCs w:val="24"/>
          <w:u w:val="single"/>
          <w:shd w:val="clear" w:color="auto" w:fill="FFFFFF"/>
        </w:rPr>
        <w:t xml:space="preserve">  （被授权人姓名） </w:t>
      </w:r>
      <w:r>
        <w:rPr>
          <w:rFonts w:hint="eastAsia" w:ascii="宋体" w:hAnsi="宋体" w:eastAsia="宋体" w:cs="Times New Roman"/>
          <w:sz w:val="24"/>
          <w:szCs w:val="24"/>
          <w:shd w:val="clear" w:color="auto" w:fill="FFFFFF"/>
        </w:rPr>
        <w:t>代表我单位全权办理针对</w:t>
      </w:r>
      <w:r>
        <w:rPr>
          <w:rFonts w:hint="eastAsia" w:ascii="宋体" w:hAnsi="宋体" w:eastAsia="宋体" w:cs="Times New Roman"/>
          <w:sz w:val="24"/>
          <w:szCs w:val="24"/>
          <w:u w:val="single"/>
          <w:shd w:val="clear" w:color="auto" w:fill="FFFFFF"/>
        </w:rPr>
        <w:t>启东市自来水厂有限公司</w:t>
      </w:r>
      <w:r>
        <w:rPr>
          <w:rFonts w:hint="eastAsia" w:ascii="宋体" w:hAnsi="宋体" w:eastAsia="宋体" w:cs="Times New Roman"/>
          <w:sz w:val="24"/>
          <w:szCs w:val="24"/>
          <w:u w:val="single"/>
          <w:shd w:val="clear" w:color="auto" w:fill="FFFFFF"/>
          <w:lang w:eastAsia="zh-CN"/>
        </w:rPr>
        <w:t>2025-2026</w:t>
      </w:r>
      <w:r>
        <w:rPr>
          <w:rFonts w:hint="eastAsia" w:ascii="宋体" w:hAnsi="宋体" w:eastAsia="宋体" w:cs="Times New Roman"/>
          <w:sz w:val="24"/>
          <w:szCs w:val="24"/>
          <w:u w:val="single"/>
          <w:shd w:val="clear" w:color="auto" w:fill="FFFFFF"/>
        </w:rPr>
        <w:t>年度收费系统、集抄平台的三级等保测评项目</w:t>
      </w:r>
      <w:r>
        <w:rPr>
          <w:rFonts w:hint="eastAsia" w:ascii="宋体" w:hAnsi="宋体" w:eastAsia="宋体" w:cs="Times New Roman"/>
          <w:sz w:val="24"/>
          <w:szCs w:val="24"/>
          <w:shd w:val="clear" w:color="auto" w:fill="FFFFFF"/>
        </w:rPr>
        <w:t>的投标，并签署全部有关文件、协议及合同。我单位对被授权人签名的所有文件负全部责任。被授权人签署的所有文件（在授权书有效期内签署的）不因授权的撤销而失效，本授权书自投标开始至合同履行完毕止。</w:t>
      </w:r>
    </w:p>
    <w:p w14:paraId="52097997">
      <w:pPr>
        <w:widowControl/>
        <w:spacing w:line="500" w:lineRule="exact"/>
        <w:ind w:firstLine="480" w:firstLineChars="200"/>
        <w:jc w:val="left"/>
        <w:rPr>
          <w:rFonts w:ascii="宋体" w:hAnsi="宋体" w:eastAsia="宋体" w:cs="Times New Roman"/>
          <w:sz w:val="24"/>
          <w:szCs w:val="24"/>
          <w:shd w:val="clear" w:color="auto" w:fill="FFFFFF"/>
        </w:rPr>
      </w:pPr>
      <w:r>
        <w:rPr>
          <w:rFonts w:hint="eastAsia" w:ascii="宋体" w:hAnsi="宋体" w:eastAsia="宋体" w:cs="Times New Roman"/>
          <w:sz w:val="24"/>
          <w:szCs w:val="24"/>
          <w:shd w:val="clear" w:color="auto" w:fill="FFFFFF"/>
        </w:rPr>
        <w:t>被授权人无权转委托。</w:t>
      </w:r>
    </w:p>
    <w:p w14:paraId="02A693D8">
      <w:pPr>
        <w:widowControl/>
        <w:spacing w:line="500" w:lineRule="exact"/>
        <w:jc w:val="left"/>
        <w:rPr>
          <w:rFonts w:ascii="宋体" w:hAnsi="宋体" w:eastAsia="宋体" w:cs="Times New Roman"/>
          <w:sz w:val="24"/>
          <w:szCs w:val="24"/>
          <w:shd w:val="clear" w:color="auto" w:fill="FFFFFF"/>
        </w:rPr>
      </w:pPr>
    </w:p>
    <w:p w14:paraId="3010BF5E">
      <w:pPr>
        <w:widowControl/>
        <w:snapToGrid w:val="0"/>
        <w:spacing w:line="560" w:lineRule="exact"/>
        <w:jc w:val="left"/>
        <w:rPr>
          <w:rFonts w:ascii="宋体" w:hAnsi="宋体" w:eastAsia="宋体" w:cs="Times New Roman"/>
          <w:sz w:val="24"/>
          <w:szCs w:val="24"/>
          <w:shd w:val="clear" w:color="auto" w:fill="FFFFFF"/>
        </w:rPr>
      </w:pPr>
      <w:r>
        <w:rPr>
          <w:rFonts w:hint="eastAsia" w:ascii="宋体" w:hAnsi="宋体" w:eastAsia="宋体" w:cs="Times New Roman"/>
          <w:sz w:val="24"/>
          <w:szCs w:val="24"/>
          <w:shd w:val="clear" w:color="auto" w:fill="FFFFFF"/>
        </w:rPr>
        <w:t>被授权人（签字）：       性别：     年龄：     职务：</w:t>
      </w:r>
    </w:p>
    <w:p w14:paraId="44DDB1E3">
      <w:pPr>
        <w:widowControl/>
        <w:snapToGrid w:val="0"/>
        <w:spacing w:line="560" w:lineRule="exact"/>
        <w:jc w:val="left"/>
        <w:rPr>
          <w:rFonts w:ascii="宋体" w:hAnsi="宋体" w:eastAsia="宋体" w:cs="Times New Roman"/>
          <w:sz w:val="24"/>
          <w:szCs w:val="24"/>
          <w:u w:val="single"/>
          <w:shd w:val="clear" w:color="auto" w:fill="FFFFFF"/>
        </w:rPr>
      </w:pPr>
      <w:r>
        <w:rPr>
          <w:rFonts w:hint="eastAsia" w:ascii="宋体" w:hAnsi="宋体" w:eastAsia="宋体" w:cs="Times New Roman"/>
          <w:sz w:val="24"/>
          <w:szCs w:val="24"/>
          <w:shd w:val="clear" w:color="auto" w:fill="FFFFFF"/>
        </w:rPr>
        <w:t>身份证号码：</w:t>
      </w:r>
    </w:p>
    <w:p w14:paraId="5A78FD36">
      <w:pPr>
        <w:widowControl/>
        <w:snapToGrid w:val="0"/>
        <w:spacing w:line="560" w:lineRule="exact"/>
        <w:jc w:val="left"/>
        <w:rPr>
          <w:rFonts w:ascii="宋体" w:hAnsi="宋体" w:eastAsia="宋体" w:cs="Times New Roman"/>
          <w:sz w:val="24"/>
          <w:szCs w:val="24"/>
          <w:shd w:val="clear" w:color="auto" w:fill="FFFFFF"/>
        </w:rPr>
      </w:pPr>
      <w:r>
        <w:rPr>
          <w:rFonts w:hint="eastAsia" w:ascii="宋体" w:hAnsi="宋体" w:eastAsia="宋体" w:cs="Times New Roman"/>
          <w:sz w:val="24"/>
          <w:szCs w:val="24"/>
          <w:shd w:val="clear" w:color="auto" w:fill="FFFFFF"/>
        </w:rPr>
        <w:t>通讯地址：</w:t>
      </w:r>
    </w:p>
    <w:p w14:paraId="723A8A27">
      <w:pPr>
        <w:widowControl/>
        <w:snapToGrid w:val="0"/>
        <w:spacing w:line="560" w:lineRule="exact"/>
        <w:jc w:val="left"/>
        <w:rPr>
          <w:rFonts w:ascii="宋体" w:hAnsi="宋体" w:eastAsia="宋体" w:cs="Times New Roman"/>
          <w:sz w:val="24"/>
          <w:szCs w:val="24"/>
          <w:shd w:val="clear" w:color="auto" w:fill="FFFFFF"/>
        </w:rPr>
      </w:pPr>
      <w:r>
        <w:rPr>
          <w:rFonts w:hint="eastAsia" w:ascii="宋体" w:hAnsi="宋体" w:eastAsia="宋体" w:cs="Times New Roman"/>
          <w:sz w:val="24"/>
          <w:szCs w:val="24"/>
          <w:shd w:val="clear" w:color="auto" w:fill="FFFFFF"/>
        </w:rPr>
        <w:t>联系电话：</w:t>
      </w:r>
    </w:p>
    <w:p w14:paraId="42806C80">
      <w:pPr>
        <w:widowControl/>
        <w:snapToGrid w:val="0"/>
        <w:spacing w:line="560" w:lineRule="exact"/>
        <w:jc w:val="left"/>
        <w:rPr>
          <w:rFonts w:ascii="宋体" w:hAnsi="宋体" w:eastAsia="宋体" w:cs="Times New Roman"/>
          <w:sz w:val="24"/>
          <w:szCs w:val="24"/>
          <w:shd w:val="clear" w:color="auto" w:fill="FFFFFF"/>
        </w:rPr>
      </w:pPr>
      <w:r>
        <w:rPr>
          <w:rFonts w:hint="eastAsia" w:ascii="宋体" w:hAnsi="宋体" w:eastAsia="宋体" w:cs="Times New Roman"/>
          <w:sz w:val="24"/>
          <w:szCs w:val="24"/>
          <w:shd w:val="clear" w:color="auto" w:fill="FFFFFF"/>
        </w:rPr>
        <w:t>法定代表人（签字或盖章）：</w:t>
      </w:r>
    </w:p>
    <w:p w14:paraId="05D667B3">
      <w:pPr>
        <w:widowControl/>
        <w:snapToGrid w:val="0"/>
        <w:spacing w:line="560" w:lineRule="exact"/>
        <w:jc w:val="left"/>
        <w:rPr>
          <w:rFonts w:ascii="宋体" w:hAnsi="宋体" w:eastAsia="宋体" w:cs="Times New Roman"/>
          <w:sz w:val="24"/>
          <w:szCs w:val="24"/>
          <w:shd w:val="clear" w:color="auto" w:fill="FFFFFF"/>
        </w:rPr>
      </w:pPr>
      <w:r>
        <w:rPr>
          <w:rFonts w:hint="eastAsia" w:ascii="宋体" w:hAnsi="宋体" w:eastAsia="宋体" w:cs="Times New Roman"/>
          <w:sz w:val="24"/>
          <w:szCs w:val="24"/>
          <w:shd w:val="clear" w:color="auto" w:fill="FFFFFF"/>
        </w:rPr>
        <w:t>供应商（盖章）：</w:t>
      </w:r>
    </w:p>
    <w:p w14:paraId="1DE3B870">
      <w:pPr>
        <w:widowControl/>
        <w:snapToGrid w:val="0"/>
        <w:spacing w:line="560" w:lineRule="exact"/>
        <w:ind w:firstLine="720" w:firstLineChars="300"/>
        <w:jc w:val="left"/>
        <w:rPr>
          <w:rFonts w:ascii="宋体" w:hAnsi="宋体" w:eastAsia="宋体" w:cs="Times New Roman"/>
          <w:sz w:val="24"/>
          <w:szCs w:val="24"/>
          <w:shd w:val="clear" w:color="auto" w:fill="FFFFFF"/>
        </w:rPr>
      </w:pPr>
      <w:r>
        <w:rPr>
          <w:rFonts w:hint="eastAsia" w:ascii="宋体" w:hAnsi="宋体" w:eastAsia="宋体" w:cs="Times New Roman"/>
          <w:sz w:val="24"/>
          <w:szCs w:val="24"/>
          <w:shd w:val="clear" w:color="auto" w:fill="FFFFFF"/>
        </w:rPr>
        <w:t>年  月  日</w:t>
      </w:r>
    </w:p>
    <w:p w14:paraId="3CE87497">
      <w:pPr>
        <w:rPr>
          <w:rFonts w:eastAsia="宋体"/>
          <w:sz w:val="24"/>
          <w:szCs w:val="24"/>
        </w:rPr>
      </w:pPr>
    </w:p>
    <w:p w14:paraId="6AB8288B">
      <w:pPr>
        <w:pStyle w:val="4"/>
        <w:rPr>
          <w:rFonts w:ascii="宋体" w:hAnsi="宋体" w:eastAsia="宋体" w:cs="Times New Roman"/>
          <w:kern w:val="2"/>
          <w:shd w:val="clear" w:color="auto" w:fill="FFFFFF"/>
        </w:rPr>
        <w:sectPr>
          <w:footerReference r:id="rId3" w:type="default"/>
          <w:pgSz w:w="11906" w:h="16838"/>
          <w:pgMar w:top="1560" w:right="1274" w:bottom="1276" w:left="1418" w:header="851" w:footer="992" w:gutter="0"/>
          <w:cols w:space="425" w:num="1"/>
          <w:docGrid w:type="lines" w:linePitch="312" w:charSpace="0"/>
        </w:sectPr>
      </w:pPr>
      <w:r>
        <w:rPr>
          <w:rFonts w:hint="eastAsia" w:ascii="宋体" w:hAnsi="宋体" w:eastAsia="宋体" w:cs="Times New Roman"/>
          <w:kern w:val="2"/>
          <w:shd w:val="clear" w:color="auto" w:fill="FFFFFF"/>
        </w:rPr>
        <w:t>附：被授权人身份证正反面复印件</w:t>
      </w:r>
    </w:p>
    <w:p w14:paraId="17166BF5">
      <w:pPr>
        <w:spacing w:line="360" w:lineRule="auto"/>
        <w:jc w:val="left"/>
        <w:rPr>
          <w:rFonts w:ascii="宋体" w:hAnsi="宋体" w:eastAsia="宋体" w:cs="仿宋_GB2312"/>
          <w:bCs/>
          <w:sz w:val="28"/>
          <w:szCs w:val="28"/>
        </w:rPr>
      </w:pPr>
      <w:r>
        <w:rPr>
          <w:rFonts w:hint="eastAsia" w:ascii="宋体" w:hAnsi="宋体" w:eastAsia="宋体" w:cs="仿宋_GB2312"/>
          <w:bCs/>
          <w:sz w:val="28"/>
          <w:szCs w:val="28"/>
        </w:rPr>
        <w:t>附件三：</w:t>
      </w:r>
    </w:p>
    <w:p w14:paraId="43DA2684">
      <w:pPr>
        <w:ind w:firstLine="602" w:firstLineChars="200"/>
        <w:jc w:val="center"/>
        <w:rPr>
          <w:rFonts w:ascii="宋体" w:hAnsi="宋体" w:eastAsia="宋体" w:cs="宋体"/>
          <w:b/>
          <w:kern w:val="0"/>
          <w:sz w:val="24"/>
          <w:szCs w:val="24"/>
        </w:rPr>
      </w:pPr>
      <w:r>
        <w:rPr>
          <w:rFonts w:hint="eastAsia" w:ascii="宋体" w:hAnsi="宋体" w:eastAsia="宋体" w:cs="宋体"/>
          <w:b/>
          <w:sz w:val="30"/>
          <w:szCs w:val="30"/>
        </w:rPr>
        <w:t>参加政府采购活动前 3 年内在经营活动中没有重大违法记</w:t>
      </w:r>
      <w:r>
        <w:rPr>
          <w:rFonts w:hint="eastAsia" w:ascii="宋体" w:hAnsi="宋体" w:eastAsia="宋体" w:cs="宋体"/>
          <w:b/>
          <w:bCs/>
          <w:sz w:val="30"/>
          <w:szCs w:val="30"/>
        </w:rPr>
        <w:t>录和失信记录的书面声明</w:t>
      </w:r>
    </w:p>
    <w:p w14:paraId="0D33D817">
      <w:pPr>
        <w:spacing w:line="460" w:lineRule="exact"/>
        <w:rPr>
          <w:rFonts w:ascii="宋体" w:hAnsi="宋体" w:eastAsia="宋体" w:cs="宋体"/>
          <w:b/>
          <w:sz w:val="44"/>
          <w:szCs w:val="44"/>
        </w:rPr>
      </w:pPr>
    </w:p>
    <w:p w14:paraId="020E1DB6">
      <w:pPr>
        <w:spacing w:line="460" w:lineRule="exact"/>
        <w:jc w:val="center"/>
        <w:rPr>
          <w:rFonts w:ascii="宋体" w:hAnsi="宋体" w:eastAsia="宋体" w:cs="宋体"/>
          <w:b/>
          <w:sz w:val="44"/>
          <w:szCs w:val="44"/>
        </w:rPr>
      </w:pPr>
      <w:r>
        <w:rPr>
          <w:rFonts w:hint="eastAsia" w:ascii="宋体" w:hAnsi="宋体" w:eastAsia="宋体" w:cs="宋体"/>
          <w:b/>
          <w:sz w:val="44"/>
          <w:szCs w:val="44"/>
        </w:rPr>
        <w:t>声  明</w:t>
      </w:r>
    </w:p>
    <w:p w14:paraId="63DD8A23">
      <w:pPr>
        <w:spacing w:line="460" w:lineRule="exact"/>
        <w:ind w:firstLine="881"/>
        <w:jc w:val="center"/>
        <w:rPr>
          <w:rFonts w:ascii="宋体" w:hAnsi="宋体" w:eastAsia="宋体" w:cs="宋体"/>
          <w:b/>
          <w:sz w:val="44"/>
          <w:szCs w:val="44"/>
        </w:rPr>
      </w:pPr>
    </w:p>
    <w:p w14:paraId="48EC686F">
      <w:pPr>
        <w:spacing w:line="500" w:lineRule="exact"/>
        <w:ind w:firstLine="482"/>
        <w:rPr>
          <w:rFonts w:ascii="宋体" w:hAnsi="宋体" w:eastAsia="宋体" w:cs="宋体"/>
          <w:bCs/>
          <w:sz w:val="24"/>
          <w:szCs w:val="24"/>
        </w:rPr>
      </w:pPr>
      <w:r>
        <w:rPr>
          <w:rFonts w:hint="eastAsia" w:ascii="宋体" w:hAnsi="宋体" w:eastAsia="宋体" w:cs="宋体"/>
          <w:bCs/>
          <w:sz w:val="24"/>
          <w:szCs w:val="24"/>
        </w:rPr>
        <w:t>我公司郑重声明：参加本次政府采购活动前 3 年内，我公司在经营活动中没有因违法经营受到刑事处罚或者责令停产停业、吊销许可证或者执照、较大数额罚款等行政处罚。</w:t>
      </w:r>
    </w:p>
    <w:p w14:paraId="78C21436">
      <w:pPr>
        <w:spacing w:line="500" w:lineRule="exact"/>
        <w:ind w:firstLine="482"/>
        <w:rPr>
          <w:rFonts w:ascii="宋体" w:hAnsi="宋体" w:eastAsia="宋体" w:cs="宋体"/>
          <w:bCs/>
          <w:sz w:val="24"/>
          <w:szCs w:val="24"/>
        </w:rPr>
      </w:pPr>
      <w:r>
        <w:rPr>
          <w:rFonts w:hint="eastAsia" w:ascii="宋体" w:hAnsi="宋体" w:eastAsia="宋体" w:cs="宋体"/>
          <w:bCs/>
          <w:sz w:val="24"/>
          <w:szCs w:val="24"/>
        </w:rPr>
        <w:t>在</w:t>
      </w:r>
      <w:r>
        <w:rPr>
          <w:rFonts w:hint="eastAsia" w:ascii="宋体" w:hAnsi="宋体" w:eastAsia="宋体" w:cs="宋体"/>
          <w:sz w:val="24"/>
          <w:szCs w:val="24"/>
        </w:rPr>
        <w:t>投标截止时间节点，没有被“信用中国”、“中国政府采购网”、“信用江苏”网站列入失信被执行人、重大税收违法案件当事人名单、政府采购严重违法失信行为记录名单。</w:t>
      </w:r>
    </w:p>
    <w:p w14:paraId="313BED55">
      <w:pPr>
        <w:spacing w:line="460" w:lineRule="exact"/>
        <w:rPr>
          <w:rFonts w:ascii="宋体" w:hAnsi="宋体" w:eastAsia="宋体" w:cs="宋体"/>
          <w:bCs/>
          <w:sz w:val="24"/>
          <w:szCs w:val="24"/>
        </w:rPr>
      </w:pPr>
    </w:p>
    <w:p w14:paraId="3EC043B6">
      <w:pPr>
        <w:spacing w:line="460" w:lineRule="exact"/>
        <w:jc w:val="center"/>
        <w:rPr>
          <w:rFonts w:ascii="宋体" w:hAnsi="宋体" w:eastAsia="宋体" w:cs="宋体"/>
          <w:bCs/>
          <w:sz w:val="24"/>
          <w:szCs w:val="24"/>
          <w:u w:val="single"/>
        </w:rPr>
      </w:pPr>
      <w:r>
        <w:rPr>
          <w:rFonts w:hint="eastAsia" w:ascii="宋体" w:hAnsi="宋体" w:eastAsia="宋体" w:cs="宋体"/>
          <w:bCs/>
          <w:sz w:val="24"/>
          <w:szCs w:val="24"/>
        </w:rPr>
        <w:t xml:space="preserve"> 供应商名称（公章）：</w:t>
      </w:r>
    </w:p>
    <w:p w14:paraId="55238D6C">
      <w:pPr>
        <w:spacing w:line="460" w:lineRule="exact"/>
        <w:rPr>
          <w:rFonts w:ascii="宋体" w:hAnsi="宋体" w:eastAsia="宋体" w:cs="宋体"/>
          <w:bCs/>
          <w:sz w:val="24"/>
          <w:szCs w:val="24"/>
          <w:u w:val="single"/>
        </w:rPr>
      </w:pPr>
      <w:r>
        <w:rPr>
          <w:rFonts w:hint="eastAsia" w:ascii="宋体" w:hAnsi="宋体" w:eastAsia="宋体" w:cs="宋体"/>
          <w:bCs/>
          <w:sz w:val="24"/>
          <w:szCs w:val="24"/>
        </w:rPr>
        <w:t xml:space="preserve">                             授权代表签字：</w:t>
      </w:r>
    </w:p>
    <w:p w14:paraId="0E8E975A">
      <w:pPr>
        <w:spacing w:line="460" w:lineRule="exact"/>
        <w:rPr>
          <w:rFonts w:ascii="宋体" w:hAnsi="宋体" w:eastAsia="宋体" w:cs="宋体"/>
          <w:bCs/>
          <w:sz w:val="24"/>
          <w:szCs w:val="24"/>
        </w:rPr>
      </w:pPr>
      <w:r>
        <w:rPr>
          <w:rFonts w:hint="eastAsia" w:ascii="宋体" w:hAnsi="宋体" w:eastAsia="宋体" w:cs="宋体"/>
          <w:bCs/>
          <w:sz w:val="24"/>
          <w:szCs w:val="24"/>
        </w:rPr>
        <w:t xml:space="preserve">                             日期：年月日</w:t>
      </w:r>
    </w:p>
    <w:p w14:paraId="60591DFF">
      <w:pPr>
        <w:spacing w:line="500" w:lineRule="exact"/>
        <w:rPr>
          <w:rFonts w:ascii="宋体" w:hAnsi="宋体" w:eastAsia="宋体" w:cs="Times New Roman"/>
          <w:sz w:val="28"/>
          <w:szCs w:val="28"/>
        </w:rPr>
      </w:pPr>
    </w:p>
    <w:p w14:paraId="11F8F2BA">
      <w:pPr>
        <w:spacing w:line="500" w:lineRule="exact"/>
        <w:rPr>
          <w:rFonts w:ascii="宋体" w:hAnsi="宋体" w:eastAsia="宋体" w:cs="Times New Roman"/>
          <w:sz w:val="28"/>
          <w:szCs w:val="28"/>
        </w:rPr>
      </w:pPr>
    </w:p>
    <w:p w14:paraId="6BECD57C">
      <w:pPr>
        <w:spacing w:line="500" w:lineRule="exact"/>
        <w:rPr>
          <w:rFonts w:ascii="宋体" w:hAnsi="宋体" w:eastAsia="宋体" w:cs="Times New Roman"/>
          <w:sz w:val="28"/>
          <w:szCs w:val="28"/>
        </w:rPr>
      </w:pPr>
    </w:p>
    <w:p w14:paraId="15D1C24B">
      <w:pPr>
        <w:spacing w:line="500" w:lineRule="exact"/>
        <w:rPr>
          <w:rFonts w:ascii="宋体" w:hAnsi="宋体" w:eastAsia="宋体" w:cs="Times New Roman"/>
          <w:sz w:val="28"/>
          <w:szCs w:val="28"/>
        </w:rPr>
      </w:pPr>
    </w:p>
    <w:p w14:paraId="206B1987">
      <w:pPr>
        <w:spacing w:line="500" w:lineRule="exact"/>
        <w:rPr>
          <w:rFonts w:ascii="宋体" w:hAnsi="宋体" w:eastAsia="宋体" w:cs="Times New Roman"/>
          <w:sz w:val="28"/>
          <w:szCs w:val="28"/>
        </w:rPr>
      </w:pPr>
    </w:p>
    <w:p w14:paraId="60288C6E">
      <w:pPr>
        <w:spacing w:line="500" w:lineRule="exact"/>
        <w:rPr>
          <w:rFonts w:ascii="宋体" w:hAnsi="宋体" w:eastAsia="宋体" w:cs="Times New Roman"/>
          <w:sz w:val="28"/>
          <w:szCs w:val="28"/>
        </w:rPr>
      </w:pPr>
    </w:p>
    <w:p w14:paraId="69D788A4">
      <w:pPr>
        <w:spacing w:line="500" w:lineRule="exact"/>
        <w:rPr>
          <w:rFonts w:ascii="宋体" w:hAnsi="宋体" w:eastAsia="宋体" w:cs="Times New Roman"/>
          <w:sz w:val="28"/>
          <w:szCs w:val="28"/>
        </w:rPr>
      </w:pPr>
    </w:p>
    <w:p w14:paraId="43E730BB">
      <w:pPr>
        <w:spacing w:line="500" w:lineRule="exact"/>
        <w:rPr>
          <w:rFonts w:ascii="宋体" w:hAnsi="宋体" w:eastAsia="宋体" w:cs="Times New Roman"/>
          <w:sz w:val="28"/>
          <w:szCs w:val="28"/>
        </w:rPr>
      </w:pPr>
    </w:p>
    <w:p w14:paraId="728C47ED">
      <w:pPr>
        <w:spacing w:line="500" w:lineRule="exact"/>
        <w:rPr>
          <w:rFonts w:ascii="宋体" w:hAnsi="宋体" w:eastAsia="宋体" w:cs="Times New Roman"/>
          <w:sz w:val="28"/>
          <w:szCs w:val="28"/>
        </w:rPr>
      </w:pPr>
    </w:p>
    <w:p w14:paraId="05E0892A">
      <w:pPr>
        <w:spacing w:line="500" w:lineRule="exact"/>
        <w:rPr>
          <w:rFonts w:ascii="宋体" w:hAnsi="宋体" w:eastAsia="宋体" w:cs="Times New Roman"/>
          <w:sz w:val="28"/>
          <w:szCs w:val="28"/>
        </w:rPr>
      </w:pPr>
    </w:p>
    <w:p w14:paraId="71772F7A">
      <w:pPr>
        <w:pStyle w:val="2"/>
      </w:pPr>
    </w:p>
    <w:p w14:paraId="1F460BED">
      <w:pPr>
        <w:pStyle w:val="2"/>
      </w:pPr>
    </w:p>
    <w:p w14:paraId="623AF8AF">
      <w:pPr>
        <w:spacing w:line="500" w:lineRule="exact"/>
        <w:rPr>
          <w:rFonts w:ascii="宋体" w:hAnsi="宋体" w:eastAsia="宋体" w:cs="Times New Roman"/>
          <w:sz w:val="28"/>
          <w:szCs w:val="28"/>
          <w:shd w:val="clear" w:color="auto" w:fill="FFFFFF"/>
        </w:rPr>
      </w:pPr>
      <w:r>
        <w:rPr>
          <w:rFonts w:hint="eastAsia" w:ascii="宋体" w:hAnsi="宋体" w:eastAsia="宋体" w:cs="Times New Roman"/>
          <w:sz w:val="28"/>
          <w:szCs w:val="28"/>
        </w:rPr>
        <w:t>附件四：</w:t>
      </w:r>
    </w:p>
    <w:p w14:paraId="4934D6D9">
      <w:pPr>
        <w:spacing w:line="500" w:lineRule="exact"/>
        <w:jc w:val="center"/>
        <w:rPr>
          <w:rFonts w:ascii="宋体" w:hAnsi="宋体" w:eastAsia="宋体" w:cs="Times New Roman"/>
          <w:b/>
          <w:sz w:val="32"/>
          <w:szCs w:val="32"/>
        </w:rPr>
      </w:pPr>
      <w:r>
        <w:rPr>
          <w:rFonts w:hint="eastAsia" w:ascii="宋体" w:hAnsi="宋体" w:eastAsia="宋体" w:cs="Times New Roman"/>
          <w:b/>
          <w:sz w:val="32"/>
          <w:szCs w:val="32"/>
        </w:rPr>
        <w:t>谈判报价表</w:t>
      </w:r>
    </w:p>
    <w:p w14:paraId="3215EFF4">
      <w:pPr>
        <w:pStyle w:val="2"/>
      </w:pPr>
    </w:p>
    <w:p w14:paraId="41AA1240">
      <w:pPr>
        <w:spacing w:line="500" w:lineRule="exact"/>
        <w:jc w:val="center"/>
        <w:rPr>
          <w:rFonts w:ascii="宋体" w:hAnsi="宋体" w:eastAsia="宋体" w:cs="Times New Roman"/>
          <w:b/>
          <w:sz w:val="32"/>
          <w:szCs w:val="32"/>
        </w:rPr>
      </w:pPr>
      <w:r>
        <w:rPr>
          <w:rFonts w:hint="eastAsia" w:ascii="宋体" w:hAnsi="宋体" w:eastAsia="宋体" w:cs="Times New Roman"/>
          <w:b/>
          <w:sz w:val="32"/>
          <w:szCs w:val="32"/>
        </w:rPr>
        <w:t>启东市自来水厂有限公司</w:t>
      </w:r>
      <w:r>
        <w:rPr>
          <w:rFonts w:hint="eastAsia" w:ascii="宋体" w:hAnsi="宋体" w:eastAsia="宋体" w:cs="Times New Roman"/>
          <w:b/>
          <w:sz w:val="32"/>
          <w:szCs w:val="32"/>
          <w:lang w:eastAsia="zh-CN"/>
        </w:rPr>
        <w:t>2025-2026</w:t>
      </w:r>
      <w:r>
        <w:rPr>
          <w:rFonts w:hint="eastAsia" w:ascii="宋体" w:hAnsi="宋体" w:eastAsia="宋体" w:cs="Times New Roman"/>
          <w:b/>
          <w:sz w:val="32"/>
          <w:szCs w:val="32"/>
        </w:rPr>
        <w:t>年度收费系统、集抄平台的三级等保测评项目</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804"/>
        <w:gridCol w:w="1386"/>
        <w:gridCol w:w="882"/>
        <w:gridCol w:w="850"/>
        <w:gridCol w:w="882"/>
        <w:gridCol w:w="882"/>
      </w:tblGrid>
      <w:tr w14:paraId="34D41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09" w:type="dxa"/>
            <w:noWrap/>
            <w:vAlign w:val="center"/>
          </w:tcPr>
          <w:p w14:paraId="10EA57D1">
            <w:pPr>
              <w:jc w:val="center"/>
              <w:rPr>
                <w:rFonts w:ascii="宋体" w:hAnsi="宋体"/>
              </w:rPr>
            </w:pPr>
            <w:r>
              <w:rPr>
                <w:rFonts w:hint="eastAsia" w:ascii="宋体" w:hAnsi="宋体"/>
              </w:rPr>
              <w:t>序号</w:t>
            </w:r>
          </w:p>
        </w:tc>
        <w:tc>
          <w:tcPr>
            <w:tcW w:w="2804" w:type="dxa"/>
            <w:noWrap/>
            <w:vAlign w:val="center"/>
          </w:tcPr>
          <w:p w14:paraId="514AAC21">
            <w:pPr>
              <w:jc w:val="center"/>
              <w:rPr>
                <w:rFonts w:ascii="宋体" w:hAnsi="宋体" w:cs="宋体"/>
                <w:b/>
                <w:bCs/>
                <w:sz w:val="22"/>
              </w:rPr>
            </w:pPr>
            <w:r>
              <w:rPr>
                <w:rFonts w:hint="eastAsia"/>
                <w:b/>
                <w:bCs/>
                <w:sz w:val="22"/>
              </w:rPr>
              <w:t xml:space="preserve"> 等保测评系统名称</w:t>
            </w:r>
          </w:p>
        </w:tc>
        <w:tc>
          <w:tcPr>
            <w:tcW w:w="1386" w:type="dxa"/>
            <w:noWrap/>
            <w:vAlign w:val="center"/>
          </w:tcPr>
          <w:p w14:paraId="5929E909">
            <w:pPr>
              <w:jc w:val="center"/>
              <w:rPr>
                <w:rFonts w:ascii="宋体" w:hAnsi="宋体"/>
              </w:rPr>
            </w:pPr>
            <w:r>
              <w:rPr>
                <w:rFonts w:ascii="宋体" w:hAnsi="宋体"/>
              </w:rPr>
              <w:t>系统等级</w:t>
            </w:r>
          </w:p>
        </w:tc>
        <w:tc>
          <w:tcPr>
            <w:tcW w:w="882" w:type="dxa"/>
            <w:noWrap/>
            <w:vAlign w:val="center"/>
          </w:tcPr>
          <w:p w14:paraId="77876352">
            <w:pPr>
              <w:jc w:val="center"/>
              <w:rPr>
                <w:rFonts w:ascii="宋体" w:hAnsi="宋体"/>
              </w:rPr>
            </w:pPr>
            <w:r>
              <w:rPr>
                <w:rFonts w:hint="eastAsia" w:ascii="宋体" w:hAnsi="宋体"/>
              </w:rPr>
              <w:t>数量</w:t>
            </w:r>
          </w:p>
        </w:tc>
        <w:tc>
          <w:tcPr>
            <w:tcW w:w="850" w:type="dxa"/>
            <w:noWrap/>
            <w:vAlign w:val="center"/>
          </w:tcPr>
          <w:p w14:paraId="57B0E5E3">
            <w:pPr>
              <w:jc w:val="center"/>
              <w:rPr>
                <w:rFonts w:ascii="宋体" w:hAnsi="宋体"/>
              </w:rPr>
            </w:pPr>
            <w:r>
              <w:rPr>
                <w:rFonts w:hint="eastAsia" w:ascii="宋体" w:hAnsi="宋体"/>
              </w:rPr>
              <w:t>单位</w:t>
            </w:r>
          </w:p>
        </w:tc>
        <w:tc>
          <w:tcPr>
            <w:tcW w:w="882" w:type="dxa"/>
            <w:noWrap/>
            <w:vAlign w:val="center"/>
          </w:tcPr>
          <w:p w14:paraId="14C63720">
            <w:pPr>
              <w:jc w:val="center"/>
              <w:rPr>
                <w:rFonts w:ascii="宋体" w:hAnsi="宋体"/>
              </w:rPr>
            </w:pPr>
            <w:r>
              <w:rPr>
                <w:rFonts w:hint="eastAsia" w:ascii="宋体" w:hAnsi="宋体"/>
              </w:rPr>
              <w:t>投标报价（元）</w:t>
            </w:r>
          </w:p>
        </w:tc>
        <w:tc>
          <w:tcPr>
            <w:tcW w:w="882" w:type="dxa"/>
            <w:noWrap/>
            <w:vAlign w:val="center"/>
          </w:tcPr>
          <w:p w14:paraId="209F8103">
            <w:pPr>
              <w:jc w:val="center"/>
              <w:rPr>
                <w:rFonts w:ascii="宋体" w:hAnsi="宋体"/>
              </w:rPr>
            </w:pPr>
            <w:r>
              <w:rPr>
                <w:rFonts w:hint="eastAsia" w:ascii="宋体" w:hAnsi="宋体"/>
              </w:rPr>
              <w:t>合计（元）</w:t>
            </w:r>
          </w:p>
        </w:tc>
      </w:tr>
      <w:tr w14:paraId="395FF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09" w:type="dxa"/>
            <w:noWrap/>
            <w:vAlign w:val="center"/>
          </w:tcPr>
          <w:p w14:paraId="79218FD0">
            <w:pPr>
              <w:jc w:val="center"/>
              <w:rPr>
                <w:rFonts w:ascii="宋体" w:hAnsi="宋体"/>
              </w:rPr>
            </w:pPr>
            <w:r>
              <w:rPr>
                <w:rFonts w:hint="eastAsia"/>
                <w:sz w:val="22"/>
              </w:rPr>
              <w:t>1</w:t>
            </w:r>
          </w:p>
        </w:tc>
        <w:tc>
          <w:tcPr>
            <w:tcW w:w="2804" w:type="dxa"/>
            <w:noWrap/>
            <w:vAlign w:val="center"/>
          </w:tcPr>
          <w:p w14:paraId="55BCB60B">
            <w:pPr>
              <w:jc w:val="center"/>
              <w:rPr>
                <w:rFonts w:ascii="宋体" w:hAnsi="宋体" w:cs="宋体"/>
                <w:b/>
                <w:bCs/>
                <w:sz w:val="22"/>
              </w:rPr>
            </w:pPr>
            <w:r>
              <w:rPr>
                <w:rFonts w:hint="eastAsia"/>
                <w:sz w:val="22"/>
              </w:rPr>
              <w:t>营业收费系统MIS</w:t>
            </w:r>
          </w:p>
        </w:tc>
        <w:tc>
          <w:tcPr>
            <w:tcW w:w="1386" w:type="dxa"/>
            <w:noWrap/>
            <w:vAlign w:val="center"/>
          </w:tcPr>
          <w:p w14:paraId="6EEFFEFA">
            <w:pPr>
              <w:ind w:firstLine="105" w:firstLineChars="50"/>
              <w:jc w:val="center"/>
              <w:rPr>
                <w:rFonts w:ascii="宋体" w:hAnsi="宋体"/>
              </w:rPr>
            </w:pPr>
            <w:r>
              <w:rPr>
                <w:rFonts w:ascii="宋体" w:hAnsi="宋体"/>
              </w:rPr>
              <w:t>第三级</w:t>
            </w:r>
          </w:p>
        </w:tc>
        <w:tc>
          <w:tcPr>
            <w:tcW w:w="882" w:type="dxa"/>
            <w:noWrap/>
            <w:vAlign w:val="center"/>
          </w:tcPr>
          <w:p w14:paraId="3AADF401">
            <w:pPr>
              <w:ind w:firstLine="105" w:firstLineChars="50"/>
              <w:jc w:val="center"/>
              <w:rPr>
                <w:rFonts w:ascii="宋体" w:hAnsi="宋体"/>
              </w:rPr>
            </w:pPr>
            <w:r>
              <w:rPr>
                <w:rFonts w:hint="eastAsia" w:ascii="宋体" w:hAnsi="宋体"/>
              </w:rPr>
              <w:t>1</w:t>
            </w:r>
          </w:p>
        </w:tc>
        <w:tc>
          <w:tcPr>
            <w:tcW w:w="850" w:type="dxa"/>
            <w:noWrap/>
            <w:vAlign w:val="center"/>
          </w:tcPr>
          <w:p w14:paraId="5A8A2554">
            <w:pPr>
              <w:jc w:val="center"/>
              <w:rPr>
                <w:rFonts w:ascii="宋体" w:hAnsi="宋体"/>
              </w:rPr>
            </w:pPr>
            <w:r>
              <w:rPr>
                <w:rFonts w:hint="eastAsia" w:ascii="宋体" w:hAnsi="宋体"/>
              </w:rPr>
              <w:t>项</w:t>
            </w:r>
          </w:p>
        </w:tc>
        <w:tc>
          <w:tcPr>
            <w:tcW w:w="882" w:type="dxa"/>
            <w:noWrap/>
            <w:vAlign w:val="center"/>
          </w:tcPr>
          <w:p w14:paraId="4135C50B">
            <w:pPr>
              <w:spacing w:line="440" w:lineRule="exact"/>
              <w:jc w:val="center"/>
              <w:rPr>
                <w:rFonts w:ascii="宋体" w:hAnsi="宋体" w:cs="宋体"/>
                <w:szCs w:val="21"/>
              </w:rPr>
            </w:pPr>
          </w:p>
        </w:tc>
        <w:tc>
          <w:tcPr>
            <w:tcW w:w="882" w:type="dxa"/>
            <w:vMerge w:val="restart"/>
            <w:noWrap/>
            <w:vAlign w:val="center"/>
          </w:tcPr>
          <w:p w14:paraId="18F02248">
            <w:pPr>
              <w:spacing w:line="440" w:lineRule="exact"/>
              <w:jc w:val="center"/>
              <w:rPr>
                <w:rFonts w:ascii="宋体" w:hAnsi="宋体" w:cs="宋体"/>
                <w:szCs w:val="21"/>
              </w:rPr>
            </w:pPr>
          </w:p>
        </w:tc>
      </w:tr>
      <w:tr w14:paraId="42D2C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09" w:type="dxa"/>
            <w:noWrap/>
            <w:vAlign w:val="center"/>
          </w:tcPr>
          <w:p w14:paraId="4A900732">
            <w:pPr>
              <w:jc w:val="center"/>
              <w:rPr>
                <w:rFonts w:ascii="宋体" w:hAnsi="宋体"/>
              </w:rPr>
            </w:pPr>
            <w:r>
              <w:rPr>
                <w:rFonts w:hint="eastAsia"/>
                <w:sz w:val="22"/>
              </w:rPr>
              <w:t>2</w:t>
            </w:r>
          </w:p>
        </w:tc>
        <w:tc>
          <w:tcPr>
            <w:tcW w:w="2804" w:type="dxa"/>
            <w:noWrap/>
            <w:vAlign w:val="center"/>
          </w:tcPr>
          <w:p w14:paraId="460662D6">
            <w:pPr>
              <w:jc w:val="center"/>
              <w:rPr>
                <w:sz w:val="22"/>
              </w:rPr>
            </w:pPr>
            <w:r>
              <w:rPr>
                <w:rFonts w:hint="eastAsia"/>
                <w:sz w:val="22"/>
              </w:rPr>
              <w:t>集抄平台（含scada系统）</w:t>
            </w:r>
          </w:p>
        </w:tc>
        <w:tc>
          <w:tcPr>
            <w:tcW w:w="1386" w:type="dxa"/>
            <w:noWrap/>
            <w:vAlign w:val="center"/>
          </w:tcPr>
          <w:p w14:paraId="211F58A2">
            <w:pPr>
              <w:ind w:firstLine="105" w:firstLineChars="50"/>
              <w:jc w:val="center"/>
              <w:rPr>
                <w:rFonts w:ascii="宋体" w:hAnsi="宋体"/>
              </w:rPr>
            </w:pPr>
            <w:r>
              <w:rPr>
                <w:rFonts w:ascii="宋体" w:hAnsi="宋体"/>
              </w:rPr>
              <w:t>第三级</w:t>
            </w:r>
          </w:p>
        </w:tc>
        <w:tc>
          <w:tcPr>
            <w:tcW w:w="882" w:type="dxa"/>
            <w:noWrap/>
            <w:vAlign w:val="center"/>
          </w:tcPr>
          <w:p w14:paraId="46F49923">
            <w:pPr>
              <w:ind w:firstLine="105" w:firstLineChars="50"/>
              <w:jc w:val="center"/>
              <w:rPr>
                <w:rFonts w:ascii="宋体" w:hAnsi="宋体"/>
              </w:rPr>
            </w:pPr>
            <w:r>
              <w:rPr>
                <w:rFonts w:hint="eastAsia" w:ascii="宋体" w:hAnsi="宋体"/>
              </w:rPr>
              <w:t>1</w:t>
            </w:r>
          </w:p>
        </w:tc>
        <w:tc>
          <w:tcPr>
            <w:tcW w:w="850" w:type="dxa"/>
            <w:noWrap/>
            <w:vAlign w:val="center"/>
          </w:tcPr>
          <w:p w14:paraId="44A35489">
            <w:pPr>
              <w:jc w:val="center"/>
              <w:rPr>
                <w:rFonts w:ascii="宋体" w:hAnsi="宋体"/>
              </w:rPr>
            </w:pPr>
            <w:r>
              <w:rPr>
                <w:rFonts w:hint="eastAsia" w:ascii="宋体" w:hAnsi="宋体"/>
              </w:rPr>
              <w:t>项</w:t>
            </w:r>
          </w:p>
        </w:tc>
        <w:tc>
          <w:tcPr>
            <w:tcW w:w="882" w:type="dxa"/>
            <w:noWrap/>
            <w:vAlign w:val="center"/>
          </w:tcPr>
          <w:p w14:paraId="16A1F17A">
            <w:pPr>
              <w:spacing w:line="440" w:lineRule="exact"/>
              <w:jc w:val="center"/>
              <w:rPr>
                <w:rFonts w:ascii="宋体" w:hAnsi="宋体" w:cs="宋体"/>
                <w:szCs w:val="21"/>
              </w:rPr>
            </w:pPr>
          </w:p>
        </w:tc>
        <w:tc>
          <w:tcPr>
            <w:tcW w:w="882" w:type="dxa"/>
            <w:vMerge w:val="continue"/>
            <w:noWrap/>
            <w:vAlign w:val="center"/>
          </w:tcPr>
          <w:p w14:paraId="2EA52DFA">
            <w:pPr>
              <w:spacing w:line="440" w:lineRule="exact"/>
              <w:jc w:val="center"/>
              <w:rPr>
                <w:rFonts w:ascii="宋体" w:hAnsi="宋体" w:cs="宋体"/>
                <w:szCs w:val="21"/>
              </w:rPr>
            </w:pPr>
          </w:p>
        </w:tc>
      </w:tr>
      <w:tr w14:paraId="0CF57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09" w:type="dxa"/>
            <w:noWrap/>
            <w:vAlign w:val="center"/>
          </w:tcPr>
          <w:p w14:paraId="10E32C04">
            <w:pPr>
              <w:jc w:val="center"/>
              <w:rPr>
                <w:rFonts w:ascii="宋体" w:hAnsi="宋体"/>
              </w:rPr>
            </w:pPr>
            <w:r>
              <w:rPr>
                <w:rFonts w:hint="eastAsia"/>
                <w:sz w:val="22"/>
              </w:rPr>
              <w:t>3</w:t>
            </w:r>
          </w:p>
        </w:tc>
        <w:tc>
          <w:tcPr>
            <w:tcW w:w="2804" w:type="dxa"/>
            <w:noWrap/>
            <w:vAlign w:val="center"/>
          </w:tcPr>
          <w:p w14:paraId="2E4FD4F5">
            <w:pPr>
              <w:jc w:val="center"/>
              <w:rPr>
                <w:rFonts w:ascii="宋体" w:hAnsi="宋体" w:cs="宋体"/>
                <w:sz w:val="22"/>
              </w:rPr>
            </w:pPr>
            <w:r>
              <w:rPr>
                <w:rFonts w:hint="eastAsia"/>
                <w:sz w:val="22"/>
              </w:rPr>
              <w:t>增值服务</w:t>
            </w:r>
          </w:p>
        </w:tc>
        <w:tc>
          <w:tcPr>
            <w:tcW w:w="1386" w:type="dxa"/>
            <w:noWrap/>
            <w:vAlign w:val="center"/>
          </w:tcPr>
          <w:p w14:paraId="76314E83">
            <w:pPr>
              <w:ind w:firstLine="105" w:firstLineChars="50"/>
              <w:jc w:val="center"/>
              <w:rPr>
                <w:rFonts w:ascii="宋体" w:hAnsi="宋体"/>
              </w:rPr>
            </w:pPr>
            <w:r>
              <w:rPr>
                <w:rFonts w:hint="eastAsia" w:ascii="宋体" w:hAnsi="宋体"/>
              </w:rPr>
              <w:t>/</w:t>
            </w:r>
          </w:p>
        </w:tc>
        <w:tc>
          <w:tcPr>
            <w:tcW w:w="882" w:type="dxa"/>
            <w:noWrap/>
            <w:vAlign w:val="center"/>
          </w:tcPr>
          <w:p w14:paraId="2F3FFDC1">
            <w:pPr>
              <w:ind w:firstLine="105" w:firstLineChars="50"/>
              <w:jc w:val="center"/>
              <w:rPr>
                <w:rFonts w:ascii="宋体" w:hAnsi="宋体"/>
              </w:rPr>
            </w:pPr>
            <w:r>
              <w:rPr>
                <w:rFonts w:hint="eastAsia" w:ascii="宋体" w:hAnsi="宋体"/>
              </w:rPr>
              <w:t>1</w:t>
            </w:r>
          </w:p>
        </w:tc>
        <w:tc>
          <w:tcPr>
            <w:tcW w:w="850" w:type="dxa"/>
            <w:noWrap/>
            <w:vAlign w:val="center"/>
          </w:tcPr>
          <w:p w14:paraId="12A3766D">
            <w:pPr>
              <w:jc w:val="center"/>
              <w:rPr>
                <w:rFonts w:ascii="宋体" w:hAnsi="宋体"/>
              </w:rPr>
            </w:pPr>
            <w:r>
              <w:rPr>
                <w:rFonts w:hint="eastAsia" w:ascii="宋体" w:hAnsi="宋体"/>
              </w:rPr>
              <w:t>项</w:t>
            </w:r>
          </w:p>
        </w:tc>
        <w:tc>
          <w:tcPr>
            <w:tcW w:w="882" w:type="dxa"/>
            <w:noWrap/>
            <w:vAlign w:val="center"/>
          </w:tcPr>
          <w:p w14:paraId="726A6F72">
            <w:pPr>
              <w:spacing w:line="440" w:lineRule="exact"/>
              <w:jc w:val="center"/>
              <w:rPr>
                <w:rFonts w:ascii="宋体" w:hAnsi="宋体" w:cs="宋体"/>
                <w:szCs w:val="21"/>
              </w:rPr>
            </w:pPr>
          </w:p>
        </w:tc>
        <w:tc>
          <w:tcPr>
            <w:tcW w:w="882" w:type="dxa"/>
            <w:vMerge w:val="continue"/>
            <w:noWrap/>
            <w:vAlign w:val="center"/>
          </w:tcPr>
          <w:p w14:paraId="6C78A575">
            <w:pPr>
              <w:spacing w:line="440" w:lineRule="exact"/>
              <w:jc w:val="center"/>
              <w:rPr>
                <w:rFonts w:ascii="宋体" w:hAnsi="宋体" w:cs="宋体"/>
                <w:szCs w:val="21"/>
              </w:rPr>
            </w:pPr>
          </w:p>
        </w:tc>
      </w:tr>
      <w:tr w14:paraId="7ED1D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395" w:type="dxa"/>
            <w:gridSpan w:val="7"/>
            <w:noWrap/>
          </w:tcPr>
          <w:p w14:paraId="6D3FCC16">
            <w:pPr>
              <w:adjustRightInd w:val="0"/>
              <w:snapToGrid w:val="0"/>
              <w:spacing w:line="360" w:lineRule="exact"/>
              <w:textAlignment w:val="baseline"/>
              <w:rPr>
                <w:rFonts w:ascii="宋体" w:hAnsi="宋体"/>
                <w:b/>
              </w:rPr>
            </w:pPr>
            <w:r>
              <w:rPr>
                <w:rFonts w:hint="eastAsia" w:ascii="宋体" w:hAnsi="宋体"/>
                <w:b/>
              </w:rPr>
              <w:t>备注：报价包括完成本项目全部服务所发生的费用，以及为完成本项目工作所必须的劳务费、编制费、差旅费、资料和数据收集与分析、利润、税金、保险、公安备案等所有相关费用。</w:t>
            </w:r>
          </w:p>
        </w:tc>
      </w:tr>
    </w:tbl>
    <w:p w14:paraId="2D97C105"/>
    <w:p w14:paraId="5BBF224A">
      <w:pPr>
        <w:spacing w:line="500" w:lineRule="exact"/>
        <w:rPr>
          <w:rFonts w:ascii="宋体" w:hAnsi="宋体" w:eastAsia="宋体" w:cs="Times New Roman"/>
          <w:sz w:val="24"/>
          <w:szCs w:val="24"/>
        </w:rPr>
      </w:pPr>
    </w:p>
    <w:p w14:paraId="454ABAC8">
      <w:pPr>
        <w:spacing w:line="500" w:lineRule="exact"/>
        <w:rPr>
          <w:rFonts w:ascii="宋体" w:hAnsi="宋体" w:eastAsia="宋体" w:cs="Times New Roman"/>
          <w:sz w:val="24"/>
          <w:szCs w:val="24"/>
        </w:rPr>
      </w:pPr>
      <w:r>
        <w:rPr>
          <w:rFonts w:hint="eastAsia" w:ascii="宋体" w:hAnsi="宋体" w:eastAsia="宋体" w:cs="Times New Roman"/>
          <w:sz w:val="24"/>
          <w:szCs w:val="24"/>
        </w:rPr>
        <w:t>供应商（加盖公章）：</w:t>
      </w:r>
    </w:p>
    <w:p w14:paraId="06398AAB">
      <w:pPr>
        <w:spacing w:line="500" w:lineRule="exact"/>
        <w:rPr>
          <w:rFonts w:ascii="宋体" w:hAnsi="宋体" w:eastAsia="宋体" w:cs="Times New Roman"/>
          <w:sz w:val="24"/>
          <w:szCs w:val="24"/>
        </w:rPr>
      </w:pPr>
      <w:r>
        <w:rPr>
          <w:rFonts w:hint="eastAsia" w:ascii="宋体" w:hAnsi="宋体" w:eastAsia="宋体" w:cs="Times New Roman"/>
          <w:sz w:val="24"/>
          <w:szCs w:val="24"/>
        </w:rPr>
        <w:t>法定代表人或被授权人（签字或盖章）：</w:t>
      </w:r>
    </w:p>
    <w:p w14:paraId="61BC668D">
      <w:pPr>
        <w:widowControl/>
        <w:spacing w:line="500" w:lineRule="exact"/>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年  月  日</w:t>
      </w:r>
    </w:p>
    <w:p w14:paraId="24BE7586">
      <w:pPr>
        <w:widowControl/>
        <w:spacing w:line="500" w:lineRule="exact"/>
        <w:jc w:val="left"/>
        <w:rPr>
          <w:rFonts w:ascii="宋体" w:hAnsi="宋体" w:eastAsia="宋体" w:cs="Times New Roman"/>
          <w:sz w:val="28"/>
          <w:szCs w:val="28"/>
        </w:rPr>
      </w:pPr>
    </w:p>
    <w:p w14:paraId="74FB6601">
      <w:pPr>
        <w:pStyle w:val="2"/>
      </w:pPr>
    </w:p>
    <w:p w14:paraId="04DAD2D4"/>
    <w:p w14:paraId="464AC2D5">
      <w:pPr>
        <w:pStyle w:val="2"/>
      </w:pPr>
    </w:p>
    <w:p w14:paraId="02D9EECA"/>
    <w:p w14:paraId="76A2021C">
      <w:pPr>
        <w:pStyle w:val="2"/>
      </w:pPr>
    </w:p>
    <w:p w14:paraId="73027C63"/>
    <w:p w14:paraId="6A3FB435">
      <w:pPr>
        <w:pStyle w:val="2"/>
      </w:pPr>
    </w:p>
    <w:p w14:paraId="300077FB"/>
    <w:p w14:paraId="7FA9CCC9">
      <w:pPr>
        <w:pStyle w:val="2"/>
      </w:pPr>
    </w:p>
    <w:p w14:paraId="1B1C145B"/>
    <w:p w14:paraId="3ED087EC">
      <w:pPr>
        <w:pStyle w:val="2"/>
      </w:pPr>
    </w:p>
    <w:p w14:paraId="2CCD8F5A"/>
    <w:p w14:paraId="3E9D90F6">
      <w:pPr>
        <w:pStyle w:val="2"/>
      </w:pPr>
    </w:p>
    <w:p w14:paraId="11A72B8E"/>
    <w:p w14:paraId="0286FB4C">
      <w:pPr>
        <w:pStyle w:val="2"/>
      </w:pPr>
    </w:p>
    <w:p w14:paraId="65202E21"/>
    <w:p w14:paraId="18776BDF">
      <w:pPr>
        <w:pStyle w:val="2"/>
      </w:pPr>
    </w:p>
    <w:p w14:paraId="5FDC38BC">
      <w:pPr>
        <w:widowControl/>
        <w:spacing w:line="500" w:lineRule="exact"/>
        <w:jc w:val="left"/>
        <w:rPr>
          <w:rFonts w:ascii="宋体" w:hAnsi="宋体" w:eastAsia="宋体" w:cs="Times New Roman"/>
          <w:sz w:val="28"/>
          <w:szCs w:val="28"/>
        </w:rPr>
      </w:pPr>
      <w:r>
        <w:rPr>
          <w:rFonts w:hint="eastAsia" w:ascii="宋体" w:hAnsi="宋体" w:eastAsia="宋体" w:cs="Times New Roman"/>
          <w:sz w:val="28"/>
          <w:szCs w:val="28"/>
        </w:rPr>
        <w:t>附件五：</w:t>
      </w:r>
    </w:p>
    <w:p w14:paraId="3E26CD43">
      <w:pPr>
        <w:spacing w:line="380" w:lineRule="exact"/>
        <w:jc w:val="center"/>
        <w:rPr>
          <w:rFonts w:ascii="宋体" w:hAnsi="宋体" w:eastAsia="宋体" w:cs="Times New Roman"/>
          <w:b/>
          <w:sz w:val="32"/>
          <w:szCs w:val="32"/>
        </w:rPr>
      </w:pPr>
      <w:r>
        <w:rPr>
          <w:rFonts w:hint="eastAsia" w:ascii="宋体" w:hAnsi="宋体" w:eastAsia="宋体" w:cs="Times New Roman"/>
          <w:b/>
          <w:sz w:val="32"/>
          <w:szCs w:val="32"/>
        </w:rPr>
        <w:t>最后报价一览表</w:t>
      </w:r>
    </w:p>
    <w:p w14:paraId="1DA94DD7">
      <w:pPr>
        <w:spacing w:after="120" w:line="420" w:lineRule="exact"/>
        <w:rPr>
          <w:rFonts w:ascii="宋体" w:hAnsi="宋体" w:eastAsia="宋体" w:cs="Times New Roman"/>
          <w:sz w:val="24"/>
          <w:szCs w:val="24"/>
          <w:u w:val="single"/>
        </w:rPr>
      </w:pPr>
    </w:p>
    <w:p w14:paraId="4FDAF8E7">
      <w:pPr>
        <w:spacing w:after="120" w:line="420" w:lineRule="exact"/>
        <w:rPr>
          <w:rFonts w:ascii="宋体" w:hAnsi="Times New Roman" w:eastAsia="宋体" w:cs="Times New Roman"/>
          <w:sz w:val="24"/>
          <w:szCs w:val="24"/>
        </w:rPr>
      </w:pPr>
      <w:r>
        <w:rPr>
          <w:rFonts w:hint="eastAsia" w:ascii="宋体" w:hAnsi="宋体" w:eastAsia="宋体" w:cs="Times New Roman"/>
          <w:sz w:val="24"/>
          <w:szCs w:val="24"/>
          <w:u w:val="single"/>
        </w:rPr>
        <w:t>启东市自来水厂有限公司</w:t>
      </w:r>
      <w:r>
        <w:rPr>
          <w:rFonts w:hint="eastAsia" w:ascii="宋体" w:hAnsi="宋体" w:eastAsia="宋体" w:cs="Times New Roman"/>
          <w:sz w:val="24"/>
          <w:szCs w:val="24"/>
        </w:rPr>
        <w:t>：</w:t>
      </w:r>
    </w:p>
    <w:p w14:paraId="0D86228E">
      <w:pPr>
        <w:spacing w:after="120" w:line="420" w:lineRule="exact"/>
        <w:ind w:firstLine="480" w:firstLineChars="200"/>
        <w:rPr>
          <w:rFonts w:ascii="宋体" w:hAnsi="Times New Roman" w:eastAsia="宋体" w:cs="Times New Roman"/>
          <w:sz w:val="24"/>
          <w:szCs w:val="24"/>
        </w:rPr>
      </w:pPr>
      <w:r>
        <w:rPr>
          <w:rFonts w:hint="eastAsia" w:ascii="宋体" w:hAnsi="宋体" w:eastAsia="宋体" w:cs="Times New Roman"/>
          <w:sz w:val="24"/>
          <w:szCs w:val="24"/>
        </w:rPr>
        <w:t>根据</w:t>
      </w:r>
      <w:r>
        <w:rPr>
          <w:rFonts w:hint="eastAsia" w:ascii="宋体" w:hAnsi="宋体" w:eastAsia="宋体" w:cs="Times New Roman"/>
          <w:sz w:val="24"/>
          <w:szCs w:val="24"/>
          <w:u w:val="single"/>
        </w:rPr>
        <w:t>启东市自来水厂有限公司</w:t>
      </w:r>
      <w:r>
        <w:rPr>
          <w:rFonts w:hint="eastAsia" w:ascii="宋体" w:hAnsi="宋体" w:eastAsia="宋体" w:cs="Times New Roman"/>
          <w:sz w:val="24"/>
          <w:szCs w:val="24"/>
          <w:u w:val="single"/>
          <w:lang w:eastAsia="zh-CN"/>
        </w:rPr>
        <w:t>2025-2026</w:t>
      </w:r>
      <w:r>
        <w:rPr>
          <w:rFonts w:hint="eastAsia" w:ascii="宋体" w:hAnsi="宋体" w:eastAsia="宋体" w:cs="Times New Roman"/>
          <w:sz w:val="24"/>
          <w:szCs w:val="24"/>
          <w:u w:val="single"/>
        </w:rPr>
        <w:t>年度收费系统、集抄平台的三级等保测评项目</w:t>
      </w:r>
      <w:r>
        <w:rPr>
          <w:rFonts w:hint="eastAsia" w:ascii="宋体" w:hAnsi="宋体" w:eastAsia="宋体" w:cs="Times New Roman"/>
          <w:sz w:val="24"/>
          <w:szCs w:val="24"/>
        </w:rPr>
        <w:t>谈判文件上明确的各项要求，本人经请示公司领导同意并代表本公司对本项目做出最后报价如下：</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2524"/>
        <w:gridCol w:w="1420"/>
        <w:gridCol w:w="994"/>
        <w:gridCol w:w="994"/>
        <w:gridCol w:w="1957"/>
      </w:tblGrid>
      <w:tr w14:paraId="0C863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10" w:type="dxa"/>
            <w:noWrap/>
            <w:vAlign w:val="center"/>
          </w:tcPr>
          <w:p w14:paraId="253CAE41">
            <w:pPr>
              <w:jc w:val="center"/>
              <w:rPr>
                <w:rFonts w:ascii="宋体" w:hAnsi="宋体" w:eastAsia="宋体" w:cs="Times New Roman"/>
                <w:szCs w:val="24"/>
              </w:rPr>
            </w:pPr>
            <w:r>
              <w:rPr>
                <w:rFonts w:hint="eastAsia" w:ascii="宋体" w:hAnsi="宋体" w:eastAsia="宋体" w:cs="Times New Roman"/>
                <w:szCs w:val="24"/>
              </w:rPr>
              <w:t>序号</w:t>
            </w:r>
          </w:p>
        </w:tc>
        <w:tc>
          <w:tcPr>
            <w:tcW w:w="2524" w:type="dxa"/>
            <w:noWrap/>
            <w:vAlign w:val="center"/>
          </w:tcPr>
          <w:p w14:paraId="61789AD7">
            <w:pPr>
              <w:jc w:val="center"/>
              <w:rPr>
                <w:rFonts w:ascii="宋体" w:hAnsi="宋体" w:eastAsia="宋体" w:cs="宋体"/>
                <w:bCs/>
                <w:sz w:val="22"/>
              </w:rPr>
            </w:pPr>
            <w:r>
              <w:rPr>
                <w:rFonts w:hint="eastAsia" w:ascii="Times New Roman" w:hAnsi="Times New Roman" w:eastAsia="宋体" w:cs="Times New Roman"/>
                <w:bCs/>
                <w:sz w:val="22"/>
              </w:rPr>
              <w:t>等保测评系统名称</w:t>
            </w:r>
          </w:p>
        </w:tc>
        <w:tc>
          <w:tcPr>
            <w:tcW w:w="1420" w:type="dxa"/>
            <w:noWrap/>
            <w:vAlign w:val="center"/>
          </w:tcPr>
          <w:p w14:paraId="4FC64972">
            <w:pPr>
              <w:jc w:val="center"/>
              <w:rPr>
                <w:rFonts w:ascii="宋体" w:hAnsi="宋体" w:eastAsia="宋体" w:cs="Times New Roman"/>
                <w:szCs w:val="24"/>
              </w:rPr>
            </w:pPr>
            <w:r>
              <w:rPr>
                <w:rFonts w:ascii="宋体" w:hAnsi="宋体" w:eastAsia="宋体" w:cs="Times New Roman"/>
                <w:szCs w:val="24"/>
              </w:rPr>
              <w:t>系统等级</w:t>
            </w:r>
          </w:p>
        </w:tc>
        <w:tc>
          <w:tcPr>
            <w:tcW w:w="994" w:type="dxa"/>
            <w:noWrap/>
            <w:vAlign w:val="center"/>
          </w:tcPr>
          <w:p w14:paraId="2B6DAFD2">
            <w:pPr>
              <w:jc w:val="center"/>
              <w:rPr>
                <w:rFonts w:ascii="宋体" w:hAnsi="宋体" w:eastAsia="宋体" w:cs="Times New Roman"/>
                <w:szCs w:val="24"/>
              </w:rPr>
            </w:pPr>
            <w:r>
              <w:rPr>
                <w:rFonts w:hint="eastAsia" w:ascii="宋体" w:hAnsi="宋体" w:eastAsia="宋体" w:cs="Times New Roman"/>
                <w:szCs w:val="24"/>
              </w:rPr>
              <w:t>数量</w:t>
            </w:r>
          </w:p>
        </w:tc>
        <w:tc>
          <w:tcPr>
            <w:tcW w:w="994" w:type="dxa"/>
            <w:noWrap/>
            <w:vAlign w:val="center"/>
          </w:tcPr>
          <w:p w14:paraId="1D07450D">
            <w:pPr>
              <w:jc w:val="center"/>
              <w:rPr>
                <w:rFonts w:ascii="宋体" w:hAnsi="宋体" w:eastAsia="宋体" w:cs="Times New Roman"/>
                <w:szCs w:val="24"/>
              </w:rPr>
            </w:pPr>
            <w:r>
              <w:rPr>
                <w:rFonts w:hint="eastAsia" w:ascii="宋体" w:hAnsi="宋体" w:eastAsia="宋体" w:cs="Times New Roman"/>
                <w:szCs w:val="24"/>
              </w:rPr>
              <w:t>单位</w:t>
            </w:r>
          </w:p>
        </w:tc>
        <w:tc>
          <w:tcPr>
            <w:tcW w:w="1956" w:type="dxa"/>
            <w:noWrap/>
            <w:vAlign w:val="center"/>
          </w:tcPr>
          <w:p w14:paraId="0CC750A8">
            <w:pPr>
              <w:jc w:val="center"/>
              <w:rPr>
                <w:rFonts w:ascii="宋体" w:hAnsi="宋体" w:eastAsia="宋体" w:cs="Times New Roman"/>
                <w:szCs w:val="24"/>
              </w:rPr>
            </w:pPr>
            <w:r>
              <w:rPr>
                <w:rFonts w:hint="eastAsia" w:ascii="宋体" w:hAnsi="宋体" w:eastAsia="宋体" w:cs="Times New Roman"/>
                <w:szCs w:val="24"/>
              </w:rPr>
              <w:t xml:space="preserve"> 最后报价（元）</w:t>
            </w:r>
          </w:p>
        </w:tc>
      </w:tr>
      <w:tr w14:paraId="45539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710" w:type="dxa"/>
            <w:noWrap/>
            <w:vAlign w:val="center"/>
          </w:tcPr>
          <w:p w14:paraId="0DA13235">
            <w:pPr>
              <w:jc w:val="center"/>
              <w:rPr>
                <w:rFonts w:ascii="宋体" w:hAnsi="宋体" w:eastAsia="宋体" w:cs="Times New Roman"/>
                <w:szCs w:val="24"/>
              </w:rPr>
            </w:pPr>
            <w:r>
              <w:rPr>
                <w:rFonts w:hint="eastAsia"/>
                <w:sz w:val="22"/>
              </w:rPr>
              <w:t>1</w:t>
            </w:r>
          </w:p>
        </w:tc>
        <w:tc>
          <w:tcPr>
            <w:tcW w:w="2524" w:type="dxa"/>
            <w:noWrap/>
            <w:vAlign w:val="center"/>
          </w:tcPr>
          <w:p w14:paraId="43FD6B70">
            <w:pPr>
              <w:jc w:val="center"/>
              <w:rPr>
                <w:rFonts w:ascii="宋体" w:hAnsi="宋体" w:eastAsia="宋体" w:cs="宋体"/>
                <w:b/>
                <w:bCs/>
                <w:sz w:val="22"/>
              </w:rPr>
            </w:pPr>
            <w:r>
              <w:rPr>
                <w:rFonts w:hint="eastAsia"/>
                <w:sz w:val="22"/>
              </w:rPr>
              <w:t>营业收费系统MIS</w:t>
            </w:r>
          </w:p>
        </w:tc>
        <w:tc>
          <w:tcPr>
            <w:tcW w:w="1420" w:type="dxa"/>
            <w:noWrap/>
            <w:vAlign w:val="center"/>
          </w:tcPr>
          <w:p w14:paraId="6D6BF729">
            <w:pPr>
              <w:ind w:firstLine="105" w:firstLineChars="50"/>
              <w:jc w:val="center"/>
              <w:rPr>
                <w:rFonts w:ascii="宋体" w:hAnsi="宋体" w:eastAsia="宋体" w:cs="Times New Roman"/>
                <w:szCs w:val="24"/>
              </w:rPr>
            </w:pPr>
            <w:r>
              <w:rPr>
                <w:rFonts w:ascii="宋体" w:hAnsi="宋体"/>
              </w:rPr>
              <w:t>第三级</w:t>
            </w:r>
          </w:p>
        </w:tc>
        <w:tc>
          <w:tcPr>
            <w:tcW w:w="994" w:type="dxa"/>
            <w:noWrap/>
            <w:vAlign w:val="center"/>
          </w:tcPr>
          <w:p w14:paraId="50FA7406">
            <w:pPr>
              <w:ind w:firstLine="105" w:firstLineChars="50"/>
              <w:jc w:val="center"/>
              <w:rPr>
                <w:rFonts w:ascii="宋体" w:hAnsi="宋体" w:eastAsia="宋体" w:cs="Times New Roman"/>
                <w:szCs w:val="24"/>
              </w:rPr>
            </w:pPr>
            <w:r>
              <w:rPr>
                <w:rFonts w:hint="eastAsia" w:ascii="宋体" w:hAnsi="宋体"/>
              </w:rPr>
              <w:t>1</w:t>
            </w:r>
          </w:p>
        </w:tc>
        <w:tc>
          <w:tcPr>
            <w:tcW w:w="994" w:type="dxa"/>
            <w:noWrap/>
            <w:vAlign w:val="center"/>
          </w:tcPr>
          <w:p w14:paraId="554F4C9C">
            <w:pPr>
              <w:jc w:val="center"/>
              <w:rPr>
                <w:rFonts w:ascii="宋体" w:hAnsi="宋体" w:eastAsia="宋体" w:cs="Times New Roman"/>
                <w:szCs w:val="24"/>
              </w:rPr>
            </w:pPr>
            <w:r>
              <w:rPr>
                <w:rFonts w:hint="eastAsia" w:ascii="宋体" w:hAnsi="宋体"/>
              </w:rPr>
              <w:t>项</w:t>
            </w:r>
          </w:p>
        </w:tc>
        <w:tc>
          <w:tcPr>
            <w:tcW w:w="1956" w:type="dxa"/>
            <w:noWrap/>
            <w:vAlign w:val="center"/>
          </w:tcPr>
          <w:p w14:paraId="0951EE40">
            <w:pPr>
              <w:spacing w:line="440" w:lineRule="exact"/>
              <w:jc w:val="center"/>
              <w:rPr>
                <w:rFonts w:ascii="宋体" w:hAnsi="宋体" w:eastAsia="宋体" w:cs="宋体"/>
                <w:szCs w:val="21"/>
              </w:rPr>
            </w:pPr>
          </w:p>
        </w:tc>
      </w:tr>
      <w:tr w14:paraId="571F6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710" w:type="dxa"/>
            <w:noWrap/>
            <w:vAlign w:val="center"/>
          </w:tcPr>
          <w:p w14:paraId="31BE0F35">
            <w:pPr>
              <w:jc w:val="center"/>
              <w:rPr>
                <w:rFonts w:ascii="宋体" w:hAnsi="宋体" w:eastAsia="宋体" w:cs="Times New Roman"/>
                <w:szCs w:val="24"/>
              </w:rPr>
            </w:pPr>
            <w:r>
              <w:rPr>
                <w:rFonts w:hint="eastAsia"/>
                <w:sz w:val="22"/>
              </w:rPr>
              <w:t>2</w:t>
            </w:r>
          </w:p>
        </w:tc>
        <w:tc>
          <w:tcPr>
            <w:tcW w:w="2524" w:type="dxa"/>
            <w:noWrap/>
            <w:vAlign w:val="center"/>
          </w:tcPr>
          <w:p w14:paraId="38063C9E">
            <w:pPr>
              <w:jc w:val="center"/>
              <w:rPr>
                <w:rFonts w:ascii="宋体" w:hAnsi="宋体" w:eastAsia="宋体" w:cs="宋体"/>
                <w:sz w:val="22"/>
              </w:rPr>
            </w:pPr>
            <w:r>
              <w:rPr>
                <w:rFonts w:hint="eastAsia"/>
                <w:sz w:val="22"/>
              </w:rPr>
              <w:t>集抄平台（含scada系统）</w:t>
            </w:r>
          </w:p>
        </w:tc>
        <w:tc>
          <w:tcPr>
            <w:tcW w:w="1420" w:type="dxa"/>
            <w:noWrap/>
            <w:vAlign w:val="center"/>
          </w:tcPr>
          <w:p w14:paraId="635F2768">
            <w:pPr>
              <w:ind w:firstLine="105" w:firstLineChars="50"/>
              <w:jc w:val="center"/>
              <w:rPr>
                <w:rFonts w:ascii="宋体" w:hAnsi="宋体" w:eastAsia="宋体" w:cs="Times New Roman"/>
                <w:szCs w:val="24"/>
              </w:rPr>
            </w:pPr>
            <w:r>
              <w:rPr>
                <w:rFonts w:ascii="宋体" w:hAnsi="宋体"/>
              </w:rPr>
              <w:t>第三级</w:t>
            </w:r>
          </w:p>
        </w:tc>
        <w:tc>
          <w:tcPr>
            <w:tcW w:w="994" w:type="dxa"/>
            <w:noWrap/>
            <w:vAlign w:val="center"/>
          </w:tcPr>
          <w:p w14:paraId="59F789A4">
            <w:pPr>
              <w:ind w:firstLine="105" w:firstLineChars="50"/>
              <w:jc w:val="center"/>
              <w:rPr>
                <w:rFonts w:ascii="宋体" w:hAnsi="宋体" w:eastAsia="宋体" w:cs="Times New Roman"/>
                <w:szCs w:val="24"/>
              </w:rPr>
            </w:pPr>
            <w:r>
              <w:rPr>
                <w:rFonts w:hint="eastAsia" w:ascii="宋体" w:hAnsi="宋体"/>
              </w:rPr>
              <w:t>1</w:t>
            </w:r>
          </w:p>
        </w:tc>
        <w:tc>
          <w:tcPr>
            <w:tcW w:w="994" w:type="dxa"/>
            <w:noWrap/>
            <w:vAlign w:val="center"/>
          </w:tcPr>
          <w:p w14:paraId="3DD2609B">
            <w:pPr>
              <w:jc w:val="center"/>
              <w:rPr>
                <w:rFonts w:ascii="宋体" w:hAnsi="宋体" w:eastAsia="宋体" w:cs="Times New Roman"/>
                <w:szCs w:val="24"/>
              </w:rPr>
            </w:pPr>
            <w:r>
              <w:rPr>
                <w:rFonts w:hint="eastAsia" w:ascii="宋体" w:hAnsi="宋体"/>
              </w:rPr>
              <w:t>项</w:t>
            </w:r>
          </w:p>
        </w:tc>
        <w:tc>
          <w:tcPr>
            <w:tcW w:w="1956" w:type="dxa"/>
            <w:noWrap/>
            <w:vAlign w:val="center"/>
          </w:tcPr>
          <w:p w14:paraId="2021555D">
            <w:pPr>
              <w:spacing w:line="440" w:lineRule="exact"/>
              <w:jc w:val="center"/>
              <w:rPr>
                <w:rFonts w:ascii="宋体" w:hAnsi="宋体" w:eastAsia="宋体" w:cs="宋体"/>
                <w:szCs w:val="21"/>
              </w:rPr>
            </w:pPr>
          </w:p>
        </w:tc>
      </w:tr>
      <w:tr w14:paraId="47053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710" w:type="dxa"/>
            <w:noWrap/>
            <w:vAlign w:val="center"/>
          </w:tcPr>
          <w:p w14:paraId="55C66912">
            <w:pPr>
              <w:jc w:val="center"/>
              <w:rPr>
                <w:rFonts w:ascii="宋体" w:hAnsi="宋体" w:eastAsia="宋体" w:cs="Times New Roman"/>
                <w:szCs w:val="24"/>
              </w:rPr>
            </w:pPr>
            <w:r>
              <w:rPr>
                <w:rFonts w:hint="eastAsia"/>
                <w:sz w:val="22"/>
              </w:rPr>
              <w:t>3</w:t>
            </w:r>
          </w:p>
        </w:tc>
        <w:tc>
          <w:tcPr>
            <w:tcW w:w="2524" w:type="dxa"/>
            <w:noWrap/>
            <w:vAlign w:val="center"/>
          </w:tcPr>
          <w:p w14:paraId="33C90277">
            <w:pPr>
              <w:jc w:val="center"/>
              <w:rPr>
                <w:rFonts w:ascii="宋体" w:hAnsi="宋体" w:eastAsia="宋体" w:cs="宋体"/>
                <w:sz w:val="22"/>
              </w:rPr>
            </w:pPr>
            <w:r>
              <w:rPr>
                <w:rFonts w:hint="eastAsia"/>
                <w:sz w:val="22"/>
              </w:rPr>
              <w:t>增值服务</w:t>
            </w:r>
          </w:p>
        </w:tc>
        <w:tc>
          <w:tcPr>
            <w:tcW w:w="1420" w:type="dxa"/>
            <w:noWrap/>
            <w:vAlign w:val="center"/>
          </w:tcPr>
          <w:p w14:paraId="40D547C1">
            <w:pPr>
              <w:ind w:firstLine="105" w:firstLineChars="50"/>
              <w:jc w:val="center"/>
              <w:rPr>
                <w:rFonts w:ascii="宋体" w:hAnsi="宋体" w:eastAsia="宋体" w:cs="Times New Roman"/>
                <w:szCs w:val="24"/>
              </w:rPr>
            </w:pPr>
            <w:r>
              <w:rPr>
                <w:rFonts w:hint="eastAsia" w:ascii="宋体" w:hAnsi="宋体"/>
              </w:rPr>
              <w:t>/</w:t>
            </w:r>
          </w:p>
        </w:tc>
        <w:tc>
          <w:tcPr>
            <w:tcW w:w="994" w:type="dxa"/>
            <w:noWrap/>
            <w:vAlign w:val="center"/>
          </w:tcPr>
          <w:p w14:paraId="61C6F5AC">
            <w:pPr>
              <w:ind w:firstLine="105" w:firstLineChars="50"/>
              <w:jc w:val="center"/>
              <w:rPr>
                <w:rFonts w:ascii="宋体" w:hAnsi="宋体" w:eastAsia="宋体" w:cs="Times New Roman"/>
                <w:szCs w:val="24"/>
              </w:rPr>
            </w:pPr>
            <w:r>
              <w:rPr>
                <w:rFonts w:hint="eastAsia" w:ascii="宋体" w:hAnsi="宋体"/>
              </w:rPr>
              <w:t>1</w:t>
            </w:r>
          </w:p>
        </w:tc>
        <w:tc>
          <w:tcPr>
            <w:tcW w:w="994" w:type="dxa"/>
            <w:noWrap/>
            <w:vAlign w:val="center"/>
          </w:tcPr>
          <w:p w14:paraId="30DA38CA">
            <w:pPr>
              <w:jc w:val="center"/>
              <w:rPr>
                <w:rFonts w:ascii="宋体" w:hAnsi="宋体" w:eastAsia="宋体" w:cs="Times New Roman"/>
                <w:szCs w:val="24"/>
              </w:rPr>
            </w:pPr>
            <w:r>
              <w:rPr>
                <w:rFonts w:hint="eastAsia" w:ascii="宋体" w:hAnsi="宋体"/>
              </w:rPr>
              <w:t>项</w:t>
            </w:r>
          </w:p>
        </w:tc>
        <w:tc>
          <w:tcPr>
            <w:tcW w:w="1956" w:type="dxa"/>
            <w:noWrap/>
            <w:vAlign w:val="center"/>
          </w:tcPr>
          <w:p w14:paraId="4EB6B303">
            <w:pPr>
              <w:spacing w:line="440" w:lineRule="exact"/>
              <w:jc w:val="center"/>
              <w:rPr>
                <w:rFonts w:ascii="宋体" w:hAnsi="宋体" w:eastAsia="宋体" w:cs="宋体"/>
                <w:szCs w:val="21"/>
              </w:rPr>
            </w:pPr>
          </w:p>
        </w:tc>
      </w:tr>
      <w:tr w14:paraId="2F457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8599" w:type="dxa"/>
            <w:gridSpan w:val="6"/>
            <w:noWrap/>
            <w:vAlign w:val="center"/>
          </w:tcPr>
          <w:p w14:paraId="40D9EFC0">
            <w:pPr>
              <w:adjustRightInd w:val="0"/>
              <w:snapToGrid w:val="0"/>
              <w:spacing w:line="360" w:lineRule="exact"/>
              <w:textAlignment w:val="baseline"/>
              <w:rPr>
                <w:rFonts w:ascii="宋体" w:hAnsi="宋体" w:eastAsia="宋体" w:cs="Times New Roman"/>
                <w:b/>
                <w:szCs w:val="24"/>
              </w:rPr>
            </w:pPr>
            <w:r>
              <w:rPr>
                <w:rFonts w:ascii="宋体" w:hAnsi="宋体" w:eastAsia="宋体" w:cs="Times New Roman"/>
                <w:b/>
                <w:szCs w:val="24"/>
              </w:rPr>
              <w:t>最后报价总价：</w:t>
            </w:r>
            <w:r>
              <w:rPr>
                <w:rFonts w:ascii="宋体" w:hAnsi="宋体" w:eastAsia="宋体" w:cs="Times New Roman"/>
                <w:b/>
                <w:szCs w:val="24"/>
                <w:u w:val="single"/>
              </w:rPr>
              <w:t>大写：</w:t>
            </w:r>
            <w:r>
              <w:rPr>
                <w:rFonts w:hint="eastAsia" w:ascii="宋体" w:hAnsi="宋体" w:eastAsia="宋体" w:cs="Times New Roman"/>
                <w:b/>
                <w:szCs w:val="24"/>
                <w:u w:val="single"/>
              </w:rPr>
              <w:t xml:space="preserve">                       （¥：         元）</w:t>
            </w:r>
          </w:p>
        </w:tc>
      </w:tr>
      <w:tr w14:paraId="3C69D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8599" w:type="dxa"/>
            <w:gridSpan w:val="6"/>
            <w:noWrap/>
            <w:vAlign w:val="center"/>
          </w:tcPr>
          <w:p w14:paraId="456B71DF">
            <w:pPr>
              <w:adjustRightInd w:val="0"/>
              <w:snapToGrid w:val="0"/>
              <w:spacing w:line="360" w:lineRule="exact"/>
              <w:textAlignment w:val="baseline"/>
              <w:rPr>
                <w:rFonts w:ascii="宋体" w:hAnsi="宋体" w:eastAsia="宋体" w:cs="Times New Roman"/>
                <w:b/>
                <w:szCs w:val="24"/>
              </w:rPr>
            </w:pPr>
            <w:r>
              <w:rPr>
                <w:rFonts w:hint="eastAsia" w:ascii="宋体" w:hAnsi="宋体"/>
                <w:b/>
              </w:rPr>
              <w:t>备注：报价包括完成本项目全部服务所发生的费用，以及为完成本项目工作所必须的劳务费、编制费、差旅费、资料和数据收集与分析、利润、税金、保险、公安备案等所有相关费用。</w:t>
            </w:r>
          </w:p>
        </w:tc>
      </w:tr>
    </w:tbl>
    <w:p w14:paraId="074A79B7">
      <w:pPr>
        <w:spacing w:line="500" w:lineRule="exact"/>
        <w:ind w:firstLine="480" w:firstLineChars="200"/>
        <w:jc w:val="left"/>
        <w:outlineLvl w:val="0"/>
        <w:rPr>
          <w:rFonts w:ascii="宋体" w:hAnsi="宋体" w:eastAsia="宋体" w:cs="宋体"/>
          <w:kern w:val="0"/>
          <w:sz w:val="24"/>
          <w:szCs w:val="24"/>
          <w:lang w:val="zh-CN"/>
        </w:rPr>
      </w:pPr>
    </w:p>
    <w:p w14:paraId="08B2277E">
      <w:pPr>
        <w:spacing w:after="120" w:line="420" w:lineRule="exact"/>
        <w:ind w:firstLine="480" w:firstLineChars="200"/>
        <w:rPr>
          <w:rFonts w:ascii="宋体" w:hAnsi="Times New Roman" w:eastAsia="宋体" w:cs="Times New Roman"/>
          <w:sz w:val="24"/>
          <w:szCs w:val="24"/>
        </w:rPr>
      </w:pPr>
      <w:r>
        <w:rPr>
          <w:rFonts w:hint="eastAsia" w:ascii="宋体" w:hAnsi="宋体" w:eastAsia="宋体" w:cs="Times New Roman"/>
          <w:sz w:val="24"/>
          <w:szCs w:val="24"/>
        </w:rPr>
        <w:t>相关补充说明：（如有）</w:t>
      </w:r>
    </w:p>
    <w:p w14:paraId="2C1A0F35">
      <w:pPr>
        <w:spacing w:after="120" w:line="420" w:lineRule="exact"/>
        <w:ind w:firstLine="480" w:firstLineChars="200"/>
        <w:rPr>
          <w:rFonts w:ascii="宋体" w:hAnsi="Times New Roman" w:eastAsia="宋体" w:cs="Times New Roman"/>
          <w:sz w:val="24"/>
          <w:szCs w:val="24"/>
        </w:rPr>
      </w:pPr>
    </w:p>
    <w:p w14:paraId="2EC46C57">
      <w:pPr>
        <w:spacing w:after="120" w:line="420" w:lineRule="exact"/>
        <w:ind w:firstLine="480" w:firstLineChars="200"/>
        <w:rPr>
          <w:rFonts w:ascii="宋体" w:hAnsi="Times New Roman" w:eastAsia="宋体" w:cs="Times New Roman"/>
          <w:sz w:val="24"/>
          <w:szCs w:val="24"/>
        </w:rPr>
      </w:pPr>
    </w:p>
    <w:p w14:paraId="7978FFB4">
      <w:pPr>
        <w:spacing w:after="120" w:line="420" w:lineRule="exact"/>
        <w:ind w:firstLine="480" w:firstLineChars="200"/>
        <w:rPr>
          <w:rFonts w:ascii="宋体" w:hAnsi="Times New Roman" w:eastAsia="宋体" w:cs="Times New Roman"/>
          <w:sz w:val="24"/>
          <w:szCs w:val="24"/>
        </w:rPr>
      </w:pPr>
      <w:r>
        <w:rPr>
          <w:rFonts w:hint="eastAsia" w:ascii="宋体" w:hAnsi="宋体" w:eastAsia="宋体" w:cs="宋体"/>
          <w:sz w:val="24"/>
          <w:szCs w:val="24"/>
        </w:rPr>
        <w:t>供应商</w:t>
      </w:r>
      <w:r>
        <w:rPr>
          <w:rFonts w:hint="eastAsia" w:ascii="宋体" w:hAnsi="宋体" w:eastAsia="宋体" w:cs="Times New Roman"/>
          <w:sz w:val="24"/>
          <w:szCs w:val="24"/>
        </w:rPr>
        <w:t>（加盖公章）：</w:t>
      </w:r>
    </w:p>
    <w:p w14:paraId="253286AA">
      <w:pPr>
        <w:spacing w:after="120" w:line="420" w:lineRule="exact"/>
        <w:ind w:firstLine="480" w:firstLineChars="200"/>
        <w:rPr>
          <w:rFonts w:ascii="宋体" w:hAnsi="Times New Roman" w:eastAsia="宋体" w:cs="Times New Roman"/>
          <w:sz w:val="24"/>
          <w:szCs w:val="24"/>
        </w:rPr>
      </w:pPr>
      <w:r>
        <w:rPr>
          <w:rFonts w:hint="eastAsia" w:ascii="宋体" w:hAnsi="宋体" w:eastAsia="宋体" w:cs="Times New Roman"/>
          <w:sz w:val="24"/>
          <w:szCs w:val="24"/>
        </w:rPr>
        <w:t>法定代表人或被授权人（签字或盖章）：</w:t>
      </w:r>
    </w:p>
    <w:p w14:paraId="62B64C55">
      <w:pPr>
        <w:spacing w:after="120" w:line="42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日期：     年    月   日</w:t>
      </w:r>
    </w:p>
    <w:p w14:paraId="63476FF7">
      <w:pPr>
        <w:pStyle w:val="2"/>
        <w:rPr>
          <w:sz w:val="24"/>
          <w:szCs w:val="24"/>
        </w:rPr>
      </w:pPr>
    </w:p>
    <w:p w14:paraId="17528CCF">
      <w:pPr>
        <w:ind w:firstLine="482" w:firstLineChars="200"/>
        <w:jc w:val="left"/>
        <w:rPr>
          <w:rFonts w:ascii="宋体" w:hAnsi="宋体" w:eastAsia="宋体" w:cs="Times New Roman"/>
          <w:b/>
          <w:bCs/>
          <w:color w:val="000000" w:themeColor="text1"/>
          <w:sz w:val="24"/>
          <w:szCs w:val="24"/>
        </w:rPr>
      </w:pPr>
      <w:r>
        <w:rPr>
          <w:rFonts w:hint="eastAsia" w:ascii="宋体" w:hAnsi="宋体" w:eastAsia="宋体" w:cs="Times New Roman"/>
          <w:b/>
          <w:bCs/>
          <w:color w:val="000000" w:themeColor="text1"/>
          <w:sz w:val="24"/>
          <w:szCs w:val="24"/>
        </w:rPr>
        <w:t>说明：供应商可按以上格式制作“最后报价一览表”，提前加盖公章，须在开标现场填写最后报价。</w:t>
      </w:r>
    </w:p>
    <w:p w14:paraId="45DC5831">
      <w:pPr>
        <w:pStyle w:val="2"/>
      </w:pPr>
    </w:p>
    <w:p w14:paraId="22D0739D"/>
    <w:p w14:paraId="367AD199">
      <w:pPr>
        <w:jc w:val="left"/>
        <w:rPr>
          <w:rFonts w:ascii="宋体" w:hAnsi="宋体" w:eastAsia="宋体" w:cs="宋体"/>
          <w:sz w:val="28"/>
          <w:szCs w:val="28"/>
        </w:rPr>
      </w:pPr>
    </w:p>
    <w:p w14:paraId="66C08C8D">
      <w:pPr>
        <w:jc w:val="left"/>
        <w:rPr>
          <w:rFonts w:cs="宋体" w:asciiTheme="minorEastAsia" w:hAnsiTheme="minorEastAsia"/>
          <w:sz w:val="28"/>
          <w:szCs w:val="28"/>
        </w:rPr>
      </w:pPr>
      <w:r>
        <w:rPr>
          <w:rFonts w:hint="eastAsia" w:ascii="宋体" w:hAnsi="宋体" w:eastAsia="宋体" w:cs="宋体"/>
          <w:sz w:val="28"/>
          <w:szCs w:val="28"/>
        </w:rPr>
        <w:t>附件六：</w:t>
      </w:r>
    </w:p>
    <w:p w14:paraId="22108FA7">
      <w:pPr>
        <w:ind w:firstLine="643"/>
        <w:jc w:val="center"/>
        <w:rPr>
          <w:rFonts w:ascii="宋体" w:hAnsi="宋体" w:cs="宋体"/>
          <w:b/>
          <w:bCs/>
          <w:sz w:val="28"/>
          <w:szCs w:val="28"/>
        </w:rPr>
      </w:pPr>
      <w:r>
        <w:rPr>
          <w:rFonts w:hint="eastAsia" w:ascii="宋体" w:hAnsi="宋体" w:cs="宋体"/>
          <w:b/>
          <w:bCs/>
          <w:sz w:val="28"/>
          <w:szCs w:val="28"/>
        </w:rPr>
        <w:t>质疑函范本</w:t>
      </w:r>
    </w:p>
    <w:p w14:paraId="13426BF9">
      <w:pPr>
        <w:adjustRightInd w:val="0"/>
        <w:snapToGrid w:val="0"/>
        <w:spacing w:beforeLines="100" w:line="360" w:lineRule="auto"/>
        <w:ind w:firstLine="480"/>
        <w:rPr>
          <w:rFonts w:ascii="宋体" w:hAnsi="宋体" w:cs="宋体"/>
          <w:bCs/>
          <w:sz w:val="24"/>
        </w:rPr>
      </w:pPr>
      <w:r>
        <w:rPr>
          <w:rFonts w:hint="eastAsia" w:ascii="宋体" w:hAnsi="宋体" w:cs="宋体"/>
          <w:bCs/>
          <w:sz w:val="24"/>
        </w:rPr>
        <w:t>一、质疑供应商基本信息</w:t>
      </w:r>
    </w:p>
    <w:p w14:paraId="5372629E">
      <w:pPr>
        <w:adjustRightInd w:val="0"/>
        <w:snapToGrid w:val="0"/>
        <w:spacing w:line="360" w:lineRule="auto"/>
        <w:ind w:firstLine="480"/>
        <w:rPr>
          <w:rFonts w:ascii="宋体" w:hAnsi="宋体" w:cs="宋体"/>
          <w:sz w:val="24"/>
          <w:u w:val="dotted"/>
        </w:rPr>
      </w:pPr>
      <w:r>
        <w:rPr>
          <w:rFonts w:hint="eastAsia" w:ascii="宋体" w:hAnsi="宋体" w:cs="宋体"/>
          <w:sz w:val="24"/>
        </w:rPr>
        <w:t>质疑供应商：</w:t>
      </w:r>
    </w:p>
    <w:p w14:paraId="39B3D955">
      <w:pPr>
        <w:adjustRightInd w:val="0"/>
        <w:snapToGrid w:val="0"/>
        <w:spacing w:line="360" w:lineRule="auto"/>
        <w:ind w:firstLine="480"/>
        <w:rPr>
          <w:rFonts w:ascii="宋体" w:hAnsi="宋体" w:cs="宋体"/>
          <w:sz w:val="24"/>
        </w:rPr>
      </w:pPr>
      <w:r>
        <w:rPr>
          <w:rFonts w:hint="eastAsia" w:ascii="宋体" w:hAnsi="宋体" w:cs="宋体"/>
          <w:sz w:val="24"/>
        </w:rPr>
        <w:t xml:space="preserve">地址：                        邮编：                                    </w:t>
      </w:r>
    </w:p>
    <w:p w14:paraId="52242188">
      <w:pPr>
        <w:adjustRightInd w:val="0"/>
        <w:snapToGrid w:val="0"/>
        <w:spacing w:line="360" w:lineRule="auto"/>
        <w:ind w:firstLine="480"/>
        <w:rPr>
          <w:rFonts w:ascii="宋体" w:hAnsi="宋体" w:cs="宋体"/>
          <w:sz w:val="24"/>
        </w:rPr>
      </w:pPr>
      <w:r>
        <w:rPr>
          <w:rFonts w:hint="eastAsia" w:ascii="宋体" w:hAnsi="宋体" w:cs="宋体"/>
          <w:sz w:val="24"/>
        </w:rPr>
        <w:t xml:space="preserve">联系人：                      联系电话：                                       </w:t>
      </w:r>
    </w:p>
    <w:p w14:paraId="75730984">
      <w:pPr>
        <w:adjustRightInd w:val="0"/>
        <w:snapToGrid w:val="0"/>
        <w:spacing w:line="360" w:lineRule="auto"/>
        <w:ind w:firstLine="480"/>
        <w:rPr>
          <w:rFonts w:ascii="宋体" w:hAnsi="宋体" w:cs="宋体"/>
          <w:sz w:val="24"/>
        </w:rPr>
      </w:pPr>
      <w:r>
        <w:rPr>
          <w:rFonts w:hint="eastAsia" w:ascii="宋体" w:hAnsi="宋体" w:cs="宋体"/>
          <w:sz w:val="24"/>
        </w:rPr>
        <w:t xml:space="preserve">授权代表：                                                                 </w:t>
      </w:r>
    </w:p>
    <w:p w14:paraId="74E53A62">
      <w:pPr>
        <w:adjustRightInd w:val="0"/>
        <w:snapToGrid w:val="0"/>
        <w:spacing w:line="360" w:lineRule="auto"/>
        <w:ind w:firstLine="480"/>
        <w:rPr>
          <w:rFonts w:ascii="宋体" w:hAnsi="宋体" w:cs="宋体"/>
          <w:sz w:val="24"/>
        </w:rPr>
      </w:pPr>
      <w:r>
        <w:rPr>
          <w:rFonts w:hint="eastAsia" w:ascii="宋体" w:hAnsi="宋体" w:cs="宋体"/>
          <w:sz w:val="24"/>
        </w:rPr>
        <w:t xml:space="preserve">联系电话：                                                                </w:t>
      </w:r>
    </w:p>
    <w:p w14:paraId="3F2E84A8">
      <w:pPr>
        <w:adjustRightInd w:val="0"/>
        <w:snapToGrid w:val="0"/>
        <w:spacing w:line="360" w:lineRule="auto"/>
        <w:ind w:firstLine="480"/>
        <w:rPr>
          <w:rFonts w:ascii="宋体" w:hAnsi="宋体" w:cs="宋体"/>
          <w:sz w:val="24"/>
        </w:rPr>
      </w:pPr>
      <w:r>
        <w:rPr>
          <w:rFonts w:hint="eastAsia" w:ascii="宋体" w:hAnsi="宋体" w:cs="宋体"/>
          <w:sz w:val="24"/>
        </w:rPr>
        <w:t xml:space="preserve">地址：                         邮编：                                     </w:t>
      </w:r>
    </w:p>
    <w:p w14:paraId="6ED7E0CA">
      <w:pPr>
        <w:adjustRightInd w:val="0"/>
        <w:snapToGrid w:val="0"/>
        <w:spacing w:line="360" w:lineRule="auto"/>
        <w:ind w:firstLine="480"/>
        <w:rPr>
          <w:rFonts w:ascii="宋体" w:hAnsi="宋体" w:cs="宋体"/>
          <w:bCs/>
          <w:sz w:val="24"/>
        </w:rPr>
      </w:pPr>
      <w:r>
        <w:rPr>
          <w:rFonts w:hint="eastAsia" w:ascii="宋体" w:hAnsi="宋体" w:cs="宋体"/>
          <w:bCs/>
          <w:sz w:val="24"/>
        </w:rPr>
        <w:t>二、质疑项目基本情况</w:t>
      </w:r>
    </w:p>
    <w:p w14:paraId="0B07E97F">
      <w:pPr>
        <w:adjustRightInd w:val="0"/>
        <w:snapToGrid w:val="0"/>
        <w:spacing w:line="360" w:lineRule="auto"/>
        <w:ind w:firstLine="480"/>
        <w:rPr>
          <w:rFonts w:ascii="宋体" w:hAnsi="宋体" w:cs="宋体"/>
          <w:sz w:val="24"/>
        </w:rPr>
      </w:pPr>
      <w:r>
        <w:rPr>
          <w:rFonts w:hint="eastAsia" w:ascii="宋体" w:hAnsi="宋体" w:cs="宋体"/>
          <w:sz w:val="24"/>
        </w:rPr>
        <w:t xml:space="preserve">质疑项目的名称：                                                          </w:t>
      </w:r>
    </w:p>
    <w:p w14:paraId="21240923">
      <w:pPr>
        <w:adjustRightInd w:val="0"/>
        <w:snapToGrid w:val="0"/>
        <w:spacing w:line="360" w:lineRule="auto"/>
        <w:ind w:firstLine="480"/>
        <w:rPr>
          <w:rFonts w:ascii="宋体" w:hAnsi="宋体" w:cs="宋体"/>
          <w:sz w:val="24"/>
        </w:rPr>
      </w:pPr>
      <w:r>
        <w:rPr>
          <w:rFonts w:hint="eastAsia" w:ascii="宋体" w:hAnsi="宋体" w:cs="宋体"/>
          <w:sz w:val="24"/>
        </w:rPr>
        <w:t>质疑项目的编号：                         包号：</w:t>
      </w:r>
    </w:p>
    <w:p w14:paraId="1D71456D">
      <w:pPr>
        <w:adjustRightInd w:val="0"/>
        <w:snapToGrid w:val="0"/>
        <w:spacing w:line="360" w:lineRule="auto"/>
        <w:ind w:firstLine="480"/>
        <w:rPr>
          <w:rFonts w:ascii="宋体" w:hAnsi="宋体" w:cs="宋体"/>
          <w:sz w:val="24"/>
          <w:u w:val="dotted"/>
        </w:rPr>
      </w:pPr>
      <w:r>
        <w:rPr>
          <w:rFonts w:hint="eastAsia" w:ascii="宋体" w:hAnsi="宋体" w:cs="宋体"/>
          <w:sz w:val="24"/>
        </w:rPr>
        <w:t>采购人名称：</w:t>
      </w:r>
    </w:p>
    <w:p w14:paraId="4CFEB94C">
      <w:pPr>
        <w:adjustRightInd w:val="0"/>
        <w:snapToGrid w:val="0"/>
        <w:spacing w:line="360" w:lineRule="auto"/>
        <w:ind w:firstLine="480"/>
        <w:rPr>
          <w:rFonts w:ascii="宋体" w:hAnsi="宋体" w:cs="宋体"/>
          <w:sz w:val="24"/>
        </w:rPr>
      </w:pPr>
      <w:r>
        <w:rPr>
          <w:rFonts w:hint="eastAsia" w:ascii="宋体" w:hAnsi="宋体" w:cs="宋体"/>
          <w:sz w:val="24"/>
        </w:rPr>
        <w:t>采购文件获取日期：</w:t>
      </w:r>
    </w:p>
    <w:p w14:paraId="1F784D68">
      <w:pPr>
        <w:adjustRightInd w:val="0"/>
        <w:snapToGrid w:val="0"/>
        <w:spacing w:line="360" w:lineRule="auto"/>
        <w:ind w:firstLine="480"/>
        <w:rPr>
          <w:rFonts w:ascii="宋体" w:hAnsi="宋体" w:cs="宋体"/>
          <w:bCs/>
          <w:sz w:val="24"/>
        </w:rPr>
      </w:pPr>
      <w:r>
        <w:rPr>
          <w:rFonts w:hint="eastAsia" w:ascii="宋体" w:hAnsi="宋体" w:cs="宋体"/>
          <w:bCs/>
          <w:sz w:val="24"/>
        </w:rPr>
        <w:t>三、质疑事项具体内容</w:t>
      </w:r>
    </w:p>
    <w:p w14:paraId="5692DAF3">
      <w:pPr>
        <w:adjustRightInd w:val="0"/>
        <w:snapToGrid w:val="0"/>
        <w:spacing w:line="360" w:lineRule="auto"/>
        <w:ind w:firstLine="480"/>
        <w:rPr>
          <w:rFonts w:ascii="宋体" w:hAnsi="宋体" w:cs="宋体"/>
          <w:sz w:val="24"/>
          <w:u w:val="dotted"/>
        </w:rPr>
      </w:pPr>
      <w:r>
        <w:rPr>
          <w:rFonts w:hint="eastAsia" w:ascii="宋体" w:hAnsi="宋体" w:cs="宋体"/>
          <w:sz w:val="24"/>
        </w:rPr>
        <w:t>质疑事项1：</w:t>
      </w:r>
    </w:p>
    <w:p w14:paraId="369433CB">
      <w:pPr>
        <w:adjustRightInd w:val="0"/>
        <w:snapToGrid w:val="0"/>
        <w:spacing w:line="360" w:lineRule="auto"/>
        <w:ind w:firstLine="480"/>
        <w:rPr>
          <w:rFonts w:ascii="宋体" w:hAnsi="宋体" w:cs="宋体"/>
          <w:sz w:val="24"/>
          <w:u w:val="dotted"/>
        </w:rPr>
      </w:pPr>
      <w:r>
        <w:rPr>
          <w:rFonts w:hint="eastAsia" w:ascii="宋体" w:hAnsi="宋体" w:cs="宋体"/>
          <w:sz w:val="24"/>
        </w:rPr>
        <w:t>事实依据：</w:t>
      </w:r>
    </w:p>
    <w:p w14:paraId="461CE32C">
      <w:pPr>
        <w:adjustRightInd w:val="0"/>
        <w:snapToGrid w:val="0"/>
        <w:spacing w:line="360" w:lineRule="auto"/>
        <w:ind w:firstLine="480"/>
        <w:rPr>
          <w:rFonts w:ascii="宋体" w:hAnsi="宋体" w:cs="宋体"/>
          <w:sz w:val="24"/>
        </w:rPr>
      </w:pPr>
    </w:p>
    <w:p w14:paraId="674C51B9">
      <w:pPr>
        <w:adjustRightInd w:val="0"/>
        <w:snapToGrid w:val="0"/>
        <w:spacing w:line="360" w:lineRule="auto"/>
        <w:ind w:firstLine="480"/>
        <w:rPr>
          <w:rFonts w:ascii="宋体" w:hAnsi="宋体" w:cs="宋体"/>
          <w:sz w:val="24"/>
          <w:u w:val="dotted"/>
        </w:rPr>
      </w:pPr>
      <w:r>
        <w:rPr>
          <w:rFonts w:hint="eastAsia" w:ascii="宋体" w:hAnsi="宋体" w:cs="宋体"/>
          <w:sz w:val="24"/>
        </w:rPr>
        <w:t>法律依据：</w:t>
      </w:r>
    </w:p>
    <w:p w14:paraId="24010061">
      <w:pPr>
        <w:adjustRightInd w:val="0"/>
        <w:snapToGrid w:val="0"/>
        <w:spacing w:line="360" w:lineRule="auto"/>
        <w:ind w:firstLine="480"/>
        <w:rPr>
          <w:rFonts w:ascii="宋体" w:hAnsi="宋体" w:cs="宋体"/>
          <w:sz w:val="24"/>
          <w:u w:val="dotted"/>
        </w:rPr>
      </w:pPr>
    </w:p>
    <w:p w14:paraId="48B949C7">
      <w:pPr>
        <w:adjustRightInd w:val="0"/>
        <w:snapToGrid w:val="0"/>
        <w:spacing w:line="360" w:lineRule="auto"/>
        <w:ind w:firstLine="480"/>
        <w:rPr>
          <w:rFonts w:ascii="宋体" w:hAnsi="宋体" w:cs="宋体"/>
          <w:sz w:val="24"/>
          <w:u w:val="dotted"/>
        </w:rPr>
      </w:pPr>
      <w:r>
        <w:rPr>
          <w:rFonts w:hint="eastAsia" w:ascii="宋体" w:hAnsi="宋体" w:cs="宋体"/>
          <w:sz w:val="24"/>
        </w:rPr>
        <w:t>质疑事项2</w:t>
      </w:r>
    </w:p>
    <w:p w14:paraId="13651440">
      <w:pPr>
        <w:adjustRightInd w:val="0"/>
        <w:snapToGrid w:val="0"/>
        <w:spacing w:line="360" w:lineRule="auto"/>
        <w:ind w:firstLine="480"/>
        <w:rPr>
          <w:rFonts w:ascii="宋体" w:hAnsi="宋体" w:cs="宋体"/>
          <w:sz w:val="24"/>
        </w:rPr>
      </w:pPr>
      <w:r>
        <w:rPr>
          <w:rFonts w:hint="eastAsia" w:ascii="宋体" w:hAnsi="宋体" w:cs="宋体"/>
          <w:sz w:val="24"/>
        </w:rPr>
        <w:t>……</w:t>
      </w:r>
    </w:p>
    <w:p w14:paraId="5E44133B">
      <w:pPr>
        <w:adjustRightInd w:val="0"/>
        <w:snapToGrid w:val="0"/>
        <w:spacing w:line="360" w:lineRule="auto"/>
        <w:ind w:firstLine="480"/>
        <w:rPr>
          <w:rFonts w:ascii="宋体" w:hAnsi="宋体" w:cs="宋体"/>
          <w:bCs/>
          <w:sz w:val="24"/>
        </w:rPr>
      </w:pPr>
      <w:r>
        <w:rPr>
          <w:rFonts w:hint="eastAsia" w:ascii="宋体" w:hAnsi="宋体" w:cs="宋体"/>
          <w:bCs/>
          <w:sz w:val="24"/>
        </w:rPr>
        <w:t>四、与质疑事项相关的质疑请求</w:t>
      </w:r>
    </w:p>
    <w:p w14:paraId="280705F0">
      <w:pPr>
        <w:adjustRightInd w:val="0"/>
        <w:snapToGrid w:val="0"/>
        <w:spacing w:line="360" w:lineRule="auto"/>
        <w:ind w:firstLine="480"/>
        <w:rPr>
          <w:rFonts w:ascii="宋体" w:hAnsi="宋体" w:cs="宋体"/>
          <w:sz w:val="24"/>
          <w:u w:val="dotted"/>
        </w:rPr>
      </w:pPr>
      <w:r>
        <w:rPr>
          <w:rFonts w:hint="eastAsia" w:ascii="宋体" w:hAnsi="宋体" w:cs="宋体"/>
          <w:sz w:val="24"/>
        </w:rPr>
        <w:t>请求：</w:t>
      </w:r>
    </w:p>
    <w:p w14:paraId="46E07724">
      <w:pPr>
        <w:ind w:firstLine="480"/>
        <w:rPr>
          <w:rFonts w:ascii="宋体" w:hAnsi="宋体" w:cs="宋体"/>
          <w:sz w:val="24"/>
        </w:rPr>
      </w:pPr>
      <w:r>
        <w:rPr>
          <w:rFonts w:hint="eastAsia" w:ascii="宋体" w:hAnsi="宋体" w:cs="宋体"/>
          <w:sz w:val="24"/>
        </w:rPr>
        <w:t xml:space="preserve">签字(签章)：                   公章：                      </w:t>
      </w:r>
    </w:p>
    <w:p w14:paraId="075BD998">
      <w:pPr>
        <w:ind w:firstLine="480"/>
        <w:rPr>
          <w:rFonts w:ascii="宋体" w:hAnsi="宋体" w:cs="宋体"/>
          <w:sz w:val="24"/>
        </w:rPr>
      </w:pPr>
      <w:r>
        <w:rPr>
          <w:rFonts w:hint="eastAsia" w:ascii="宋体" w:hAnsi="宋体" w:cs="宋体"/>
          <w:sz w:val="24"/>
        </w:rPr>
        <w:t xml:space="preserve">日期：    </w:t>
      </w:r>
    </w:p>
    <w:p w14:paraId="1C5A93D3">
      <w:pPr>
        <w:spacing w:line="400" w:lineRule="exact"/>
        <w:ind w:firstLine="482"/>
        <w:rPr>
          <w:rFonts w:ascii="宋体" w:hAnsi="宋体" w:cs="宋体"/>
          <w:b/>
          <w:sz w:val="24"/>
        </w:rPr>
      </w:pPr>
    </w:p>
    <w:p w14:paraId="28AA8CE1">
      <w:pPr>
        <w:spacing w:line="400" w:lineRule="exact"/>
        <w:ind w:firstLine="482"/>
        <w:rPr>
          <w:rFonts w:ascii="宋体" w:hAnsi="宋体" w:cs="宋体"/>
          <w:b/>
          <w:sz w:val="24"/>
        </w:rPr>
      </w:pPr>
    </w:p>
    <w:p w14:paraId="51F86D4F">
      <w:pPr>
        <w:spacing w:line="400" w:lineRule="exact"/>
        <w:ind w:firstLine="482"/>
        <w:rPr>
          <w:rFonts w:ascii="宋体" w:hAnsi="宋体" w:cs="宋体"/>
          <w:b/>
          <w:sz w:val="24"/>
        </w:rPr>
      </w:pPr>
    </w:p>
    <w:p w14:paraId="6EB202B0">
      <w:pPr>
        <w:spacing w:line="400" w:lineRule="exact"/>
        <w:ind w:firstLine="482"/>
        <w:rPr>
          <w:rFonts w:ascii="宋体" w:hAnsi="宋体" w:cs="宋体"/>
          <w:b/>
          <w:sz w:val="24"/>
        </w:rPr>
      </w:pPr>
      <w:r>
        <w:rPr>
          <w:rFonts w:hint="eastAsia" w:ascii="宋体" w:hAnsi="宋体" w:cs="宋体"/>
          <w:b/>
          <w:sz w:val="24"/>
        </w:rPr>
        <w:t>质疑函制作说明：</w:t>
      </w:r>
    </w:p>
    <w:p w14:paraId="158FC669">
      <w:pPr>
        <w:widowControl/>
        <w:spacing w:line="400" w:lineRule="exact"/>
        <w:ind w:firstLine="480"/>
        <w:jc w:val="left"/>
        <w:rPr>
          <w:rFonts w:ascii="宋体" w:hAnsi="宋体" w:cs="宋体"/>
          <w:sz w:val="24"/>
        </w:rPr>
      </w:pPr>
      <w:r>
        <w:rPr>
          <w:rFonts w:hint="eastAsia" w:ascii="宋体" w:hAnsi="宋体" w:cs="宋体"/>
          <w:sz w:val="24"/>
        </w:rPr>
        <w:t>1.供应商提出质疑时，应提交质疑函和必要的证明材料。</w:t>
      </w:r>
    </w:p>
    <w:p w14:paraId="275498A6">
      <w:pPr>
        <w:widowControl/>
        <w:spacing w:line="400" w:lineRule="exact"/>
        <w:ind w:firstLine="48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5525ED96">
      <w:pPr>
        <w:widowControl/>
        <w:spacing w:line="400" w:lineRule="exact"/>
        <w:ind w:firstLine="48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4B9F333C">
      <w:pPr>
        <w:widowControl/>
        <w:spacing w:line="400" w:lineRule="exact"/>
        <w:ind w:firstLine="480"/>
        <w:jc w:val="left"/>
        <w:rPr>
          <w:rFonts w:ascii="宋体" w:hAnsi="宋体" w:cs="宋体"/>
          <w:sz w:val="24"/>
        </w:rPr>
      </w:pPr>
      <w:r>
        <w:rPr>
          <w:rFonts w:hint="eastAsia" w:ascii="宋体" w:hAnsi="宋体" w:cs="宋体"/>
          <w:sz w:val="24"/>
        </w:rPr>
        <w:t>4.质疑函的质疑事项应具体、明确，并有必要的事实依据和法律依据。</w:t>
      </w:r>
    </w:p>
    <w:p w14:paraId="20692C3C">
      <w:pPr>
        <w:widowControl/>
        <w:spacing w:line="400" w:lineRule="exact"/>
        <w:ind w:firstLine="480"/>
        <w:jc w:val="left"/>
        <w:rPr>
          <w:rFonts w:ascii="宋体" w:hAnsi="宋体" w:cs="宋体"/>
          <w:sz w:val="24"/>
        </w:rPr>
      </w:pPr>
      <w:r>
        <w:rPr>
          <w:rFonts w:hint="eastAsia" w:ascii="宋体" w:hAnsi="宋体" w:cs="宋体"/>
          <w:sz w:val="24"/>
        </w:rPr>
        <w:t>5.质疑函的质疑请求应与质疑事项相关。</w:t>
      </w:r>
    </w:p>
    <w:p w14:paraId="5834FC3C">
      <w:pPr>
        <w:widowControl/>
        <w:spacing w:line="400" w:lineRule="exact"/>
        <w:ind w:firstLine="48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18EF7550">
      <w:pPr>
        <w:pStyle w:val="4"/>
      </w:pPr>
    </w:p>
    <w:p w14:paraId="57016ECF">
      <w:pPr>
        <w:widowControl/>
        <w:spacing w:line="500" w:lineRule="exact"/>
        <w:jc w:val="center"/>
        <w:rPr>
          <w:rFonts w:ascii="宋体" w:hAnsi="宋体" w:eastAsia="宋体" w:cs="Times New Roman"/>
          <w:b/>
          <w:sz w:val="28"/>
          <w:szCs w:val="28"/>
          <w:shd w:val="clear" w:color="auto" w:fill="FFFFFF"/>
        </w:rPr>
      </w:pPr>
    </w:p>
    <w:p w14:paraId="42897EDF">
      <w:pPr>
        <w:widowControl/>
        <w:spacing w:line="500" w:lineRule="exact"/>
        <w:jc w:val="center"/>
        <w:rPr>
          <w:rFonts w:ascii="宋体" w:hAnsi="宋体" w:eastAsia="宋体" w:cs="Times New Roman"/>
          <w:b/>
          <w:sz w:val="28"/>
          <w:szCs w:val="28"/>
          <w:shd w:val="clear" w:color="auto" w:fill="FFFFFF"/>
        </w:rPr>
      </w:pPr>
    </w:p>
    <w:p w14:paraId="0DFA7D81">
      <w:pPr>
        <w:widowControl/>
        <w:spacing w:line="500" w:lineRule="exact"/>
        <w:jc w:val="center"/>
        <w:rPr>
          <w:rFonts w:ascii="宋体" w:hAnsi="宋体" w:eastAsia="宋体" w:cs="Times New Roman"/>
          <w:b/>
          <w:sz w:val="28"/>
          <w:szCs w:val="28"/>
          <w:shd w:val="clear" w:color="auto" w:fill="FFFFFF"/>
        </w:rPr>
      </w:pPr>
    </w:p>
    <w:p w14:paraId="0C366721">
      <w:pPr>
        <w:pStyle w:val="2"/>
        <w:rPr>
          <w:rFonts w:hAnsi="宋体"/>
          <w:b/>
          <w:sz w:val="28"/>
          <w:szCs w:val="28"/>
          <w:shd w:val="clear" w:color="auto" w:fill="FFFFFF"/>
        </w:rPr>
      </w:pPr>
    </w:p>
    <w:p w14:paraId="3E82697D">
      <w:pPr>
        <w:rPr>
          <w:rFonts w:ascii="宋体" w:hAnsi="宋体" w:eastAsia="宋体" w:cs="Times New Roman"/>
          <w:b/>
          <w:sz w:val="28"/>
          <w:szCs w:val="28"/>
          <w:shd w:val="clear" w:color="auto" w:fill="FFFFFF"/>
        </w:rPr>
      </w:pPr>
    </w:p>
    <w:p w14:paraId="3FC5DB73">
      <w:pPr>
        <w:pStyle w:val="2"/>
      </w:pPr>
    </w:p>
    <w:p w14:paraId="5816AF0C"/>
    <w:p w14:paraId="62120E20">
      <w:pPr>
        <w:pStyle w:val="2"/>
      </w:pPr>
    </w:p>
    <w:p w14:paraId="1E2CC94F"/>
    <w:p w14:paraId="668664EC">
      <w:pPr>
        <w:pStyle w:val="2"/>
      </w:pPr>
    </w:p>
    <w:p w14:paraId="47932EAF"/>
    <w:p w14:paraId="6A25A5A2">
      <w:pPr>
        <w:pStyle w:val="2"/>
      </w:pPr>
    </w:p>
    <w:p w14:paraId="0CE8A492"/>
    <w:p w14:paraId="3881B8F8">
      <w:pPr>
        <w:pStyle w:val="2"/>
      </w:pPr>
    </w:p>
    <w:p w14:paraId="074E7B7C"/>
    <w:p w14:paraId="5F5D4998">
      <w:pPr>
        <w:pStyle w:val="2"/>
      </w:pPr>
    </w:p>
    <w:p w14:paraId="0B9A5276"/>
    <w:p w14:paraId="5654C07B">
      <w:pPr>
        <w:pStyle w:val="2"/>
      </w:pPr>
    </w:p>
    <w:p w14:paraId="40FEF2DE"/>
    <w:p w14:paraId="502A1728">
      <w:pPr>
        <w:pStyle w:val="2"/>
      </w:pPr>
    </w:p>
    <w:p w14:paraId="409610B4"/>
    <w:p w14:paraId="792473DE">
      <w:pPr>
        <w:pStyle w:val="2"/>
      </w:pPr>
    </w:p>
    <w:p w14:paraId="30775261">
      <w:pPr>
        <w:snapToGrid w:val="0"/>
        <w:spacing w:line="400" w:lineRule="exact"/>
        <w:jc w:val="left"/>
        <w:rPr>
          <w:rFonts w:ascii="宋体" w:hAnsi="宋体" w:eastAsia="宋体" w:cs="宋体"/>
          <w:b/>
          <w:bCs/>
          <w:kern w:val="0"/>
          <w:sz w:val="28"/>
          <w:szCs w:val="28"/>
        </w:rPr>
      </w:pPr>
    </w:p>
    <w:sectPr>
      <w:pgSz w:w="11906" w:h="16838"/>
      <w:pgMar w:top="1440" w:right="1274"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340811"/>
    </w:sdtPr>
    <w:sdtContent>
      <w:p w14:paraId="44D4C137">
        <w:pPr>
          <w:pStyle w:val="7"/>
          <w:jc w:val="center"/>
        </w:pPr>
        <w:r>
          <w:fldChar w:fldCharType="begin"/>
        </w:r>
        <w:r>
          <w:instrText xml:space="preserve"> PAGE   \* MERGEFORMAT </w:instrText>
        </w:r>
        <w:r>
          <w:fldChar w:fldCharType="separate"/>
        </w:r>
        <w:r>
          <w:rPr>
            <w:lang w:val="zh-CN"/>
          </w:rPr>
          <w:t>4</w:t>
        </w:r>
        <w:r>
          <w:rPr>
            <w:lang w:val="zh-CN"/>
          </w:rPr>
          <w:fldChar w:fldCharType="end"/>
        </w:r>
      </w:p>
    </w:sdtContent>
  </w:sdt>
  <w:p w14:paraId="14DC08E5">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A56F2"/>
    <w:multiLevelType w:val="singleLevel"/>
    <w:tmpl w:val="CF6A56F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RiNGJmNzI4NmFhYTA2ZWU5ODljYTk1NDA0YTZjZjAifQ=="/>
  </w:docVars>
  <w:rsids>
    <w:rsidRoot w:val="001A4F6B"/>
    <w:rsid w:val="00005462"/>
    <w:rsid w:val="00005F0C"/>
    <w:rsid w:val="00006E56"/>
    <w:rsid w:val="00007AE5"/>
    <w:rsid w:val="00010F41"/>
    <w:rsid w:val="00011003"/>
    <w:rsid w:val="0001143B"/>
    <w:rsid w:val="00011C89"/>
    <w:rsid w:val="000129C9"/>
    <w:rsid w:val="000139DE"/>
    <w:rsid w:val="00014611"/>
    <w:rsid w:val="0001485B"/>
    <w:rsid w:val="00014B53"/>
    <w:rsid w:val="0001550A"/>
    <w:rsid w:val="000205F4"/>
    <w:rsid w:val="00021114"/>
    <w:rsid w:val="000216F5"/>
    <w:rsid w:val="00021A23"/>
    <w:rsid w:val="00023CF1"/>
    <w:rsid w:val="0002457E"/>
    <w:rsid w:val="00024DD2"/>
    <w:rsid w:val="000273D3"/>
    <w:rsid w:val="00027786"/>
    <w:rsid w:val="000278EB"/>
    <w:rsid w:val="00027E53"/>
    <w:rsid w:val="00035109"/>
    <w:rsid w:val="000353B9"/>
    <w:rsid w:val="00040FB9"/>
    <w:rsid w:val="00042C6A"/>
    <w:rsid w:val="00044A2A"/>
    <w:rsid w:val="00046774"/>
    <w:rsid w:val="00047928"/>
    <w:rsid w:val="00050DEC"/>
    <w:rsid w:val="00052094"/>
    <w:rsid w:val="00053CBA"/>
    <w:rsid w:val="00054C26"/>
    <w:rsid w:val="0005500E"/>
    <w:rsid w:val="00056802"/>
    <w:rsid w:val="00062AEB"/>
    <w:rsid w:val="00063E63"/>
    <w:rsid w:val="00064D91"/>
    <w:rsid w:val="0006526A"/>
    <w:rsid w:val="00065724"/>
    <w:rsid w:val="000661EB"/>
    <w:rsid w:val="00070D9D"/>
    <w:rsid w:val="00072065"/>
    <w:rsid w:val="0007389F"/>
    <w:rsid w:val="00074046"/>
    <w:rsid w:val="00074C38"/>
    <w:rsid w:val="00076235"/>
    <w:rsid w:val="00077167"/>
    <w:rsid w:val="00077367"/>
    <w:rsid w:val="00080986"/>
    <w:rsid w:val="00082BB0"/>
    <w:rsid w:val="00083282"/>
    <w:rsid w:val="000837AD"/>
    <w:rsid w:val="00083A71"/>
    <w:rsid w:val="00086B2D"/>
    <w:rsid w:val="0009123E"/>
    <w:rsid w:val="00091692"/>
    <w:rsid w:val="00093880"/>
    <w:rsid w:val="0009443D"/>
    <w:rsid w:val="00096130"/>
    <w:rsid w:val="00096B64"/>
    <w:rsid w:val="00097728"/>
    <w:rsid w:val="000A1675"/>
    <w:rsid w:val="000A264C"/>
    <w:rsid w:val="000A49D8"/>
    <w:rsid w:val="000A6A5A"/>
    <w:rsid w:val="000B265C"/>
    <w:rsid w:val="000B4290"/>
    <w:rsid w:val="000B5536"/>
    <w:rsid w:val="000B57B8"/>
    <w:rsid w:val="000B5D50"/>
    <w:rsid w:val="000B5EAB"/>
    <w:rsid w:val="000B5F27"/>
    <w:rsid w:val="000B62DF"/>
    <w:rsid w:val="000C16EA"/>
    <w:rsid w:val="000C1854"/>
    <w:rsid w:val="000C37F9"/>
    <w:rsid w:val="000C6970"/>
    <w:rsid w:val="000C6BD7"/>
    <w:rsid w:val="000C7B7C"/>
    <w:rsid w:val="000D0468"/>
    <w:rsid w:val="000D0B0D"/>
    <w:rsid w:val="000D1631"/>
    <w:rsid w:val="000D184D"/>
    <w:rsid w:val="000D1AB2"/>
    <w:rsid w:val="000E0437"/>
    <w:rsid w:val="000E0679"/>
    <w:rsid w:val="000E081D"/>
    <w:rsid w:val="000E20B4"/>
    <w:rsid w:val="000E22FA"/>
    <w:rsid w:val="000E2A55"/>
    <w:rsid w:val="000E2E88"/>
    <w:rsid w:val="000E4057"/>
    <w:rsid w:val="000F095D"/>
    <w:rsid w:val="000F0C23"/>
    <w:rsid w:val="000F2B11"/>
    <w:rsid w:val="000F3060"/>
    <w:rsid w:val="000F3470"/>
    <w:rsid w:val="000F3AB4"/>
    <w:rsid w:val="000F451D"/>
    <w:rsid w:val="000F5816"/>
    <w:rsid w:val="000F77B1"/>
    <w:rsid w:val="001010A8"/>
    <w:rsid w:val="00101544"/>
    <w:rsid w:val="00104A0A"/>
    <w:rsid w:val="00105925"/>
    <w:rsid w:val="00107C2F"/>
    <w:rsid w:val="00112B4B"/>
    <w:rsid w:val="00112D21"/>
    <w:rsid w:val="001136D9"/>
    <w:rsid w:val="001143B8"/>
    <w:rsid w:val="0011492B"/>
    <w:rsid w:val="00116D2D"/>
    <w:rsid w:val="00117726"/>
    <w:rsid w:val="001200A7"/>
    <w:rsid w:val="001226C9"/>
    <w:rsid w:val="001256D5"/>
    <w:rsid w:val="0012691C"/>
    <w:rsid w:val="00126AE1"/>
    <w:rsid w:val="00127E08"/>
    <w:rsid w:val="001304E2"/>
    <w:rsid w:val="00130598"/>
    <w:rsid w:val="00130947"/>
    <w:rsid w:val="00131021"/>
    <w:rsid w:val="00132413"/>
    <w:rsid w:val="001327D2"/>
    <w:rsid w:val="00133778"/>
    <w:rsid w:val="00133AF4"/>
    <w:rsid w:val="001369AA"/>
    <w:rsid w:val="00136AE9"/>
    <w:rsid w:val="00143C12"/>
    <w:rsid w:val="00144D18"/>
    <w:rsid w:val="00146958"/>
    <w:rsid w:val="001506D1"/>
    <w:rsid w:val="00151852"/>
    <w:rsid w:val="00151C7D"/>
    <w:rsid w:val="00152C72"/>
    <w:rsid w:val="00153EF9"/>
    <w:rsid w:val="00156C17"/>
    <w:rsid w:val="00156E7B"/>
    <w:rsid w:val="001577AA"/>
    <w:rsid w:val="00160AA4"/>
    <w:rsid w:val="00160C07"/>
    <w:rsid w:val="00164D7E"/>
    <w:rsid w:val="00165C0C"/>
    <w:rsid w:val="00167C68"/>
    <w:rsid w:val="001701A9"/>
    <w:rsid w:val="00171276"/>
    <w:rsid w:val="00171854"/>
    <w:rsid w:val="001728C5"/>
    <w:rsid w:val="001756A6"/>
    <w:rsid w:val="00175821"/>
    <w:rsid w:val="00176773"/>
    <w:rsid w:val="00182FF7"/>
    <w:rsid w:val="001834F2"/>
    <w:rsid w:val="00190911"/>
    <w:rsid w:val="001924F2"/>
    <w:rsid w:val="001937AD"/>
    <w:rsid w:val="00193BA4"/>
    <w:rsid w:val="00193CBC"/>
    <w:rsid w:val="00194178"/>
    <w:rsid w:val="00195D0C"/>
    <w:rsid w:val="00195E9C"/>
    <w:rsid w:val="00197133"/>
    <w:rsid w:val="001971EA"/>
    <w:rsid w:val="001979B3"/>
    <w:rsid w:val="001A0159"/>
    <w:rsid w:val="001A086C"/>
    <w:rsid w:val="001A0BF5"/>
    <w:rsid w:val="001A1053"/>
    <w:rsid w:val="001A15FE"/>
    <w:rsid w:val="001A32C4"/>
    <w:rsid w:val="001A3FEA"/>
    <w:rsid w:val="001A4BD7"/>
    <w:rsid w:val="001A4F6B"/>
    <w:rsid w:val="001A6759"/>
    <w:rsid w:val="001A74E6"/>
    <w:rsid w:val="001B16A4"/>
    <w:rsid w:val="001B7E38"/>
    <w:rsid w:val="001C0B36"/>
    <w:rsid w:val="001C19AA"/>
    <w:rsid w:val="001C37E8"/>
    <w:rsid w:val="001C42CA"/>
    <w:rsid w:val="001C6748"/>
    <w:rsid w:val="001C75F4"/>
    <w:rsid w:val="001D07CF"/>
    <w:rsid w:val="001D1777"/>
    <w:rsid w:val="001D3596"/>
    <w:rsid w:val="001D36F6"/>
    <w:rsid w:val="001D3DD0"/>
    <w:rsid w:val="001D65E7"/>
    <w:rsid w:val="001D68E0"/>
    <w:rsid w:val="001D7BC2"/>
    <w:rsid w:val="001E382C"/>
    <w:rsid w:val="001E4BBE"/>
    <w:rsid w:val="001E555D"/>
    <w:rsid w:val="001F0BD3"/>
    <w:rsid w:val="001F210B"/>
    <w:rsid w:val="001F3D01"/>
    <w:rsid w:val="001F52C5"/>
    <w:rsid w:val="001F5997"/>
    <w:rsid w:val="001F7912"/>
    <w:rsid w:val="00200810"/>
    <w:rsid w:val="00201C44"/>
    <w:rsid w:val="002043B0"/>
    <w:rsid w:val="00204A45"/>
    <w:rsid w:val="002066A5"/>
    <w:rsid w:val="00207ECD"/>
    <w:rsid w:val="00211082"/>
    <w:rsid w:val="002110C4"/>
    <w:rsid w:val="002141FF"/>
    <w:rsid w:val="00215167"/>
    <w:rsid w:val="00215B1D"/>
    <w:rsid w:val="00220BFE"/>
    <w:rsid w:val="00222D2A"/>
    <w:rsid w:val="00222E77"/>
    <w:rsid w:val="00222F33"/>
    <w:rsid w:val="00223396"/>
    <w:rsid w:val="00224DE5"/>
    <w:rsid w:val="002262FF"/>
    <w:rsid w:val="002308EA"/>
    <w:rsid w:val="00231661"/>
    <w:rsid w:val="00231820"/>
    <w:rsid w:val="00232AB3"/>
    <w:rsid w:val="00233A70"/>
    <w:rsid w:val="00235CC4"/>
    <w:rsid w:val="0023603A"/>
    <w:rsid w:val="00236A7D"/>
    <w:rsid w:val="00241B5C"/>
    <w:rsid w:val="002425E9"/>
    <w:rsid w:val="00243095"/>
    <w:rsid w:val="0024310E"/>
    <w:rsid w:val="0024384D"/>
    <w:rsid w:val="0024561F"/>
    <w:rsid w:val="00246EDC"/>
    <w:rsid w:val="00250476"/>
    <w:rsid w:val="00250E61"/>
    <w:rsid w:val="00252743"/>
    <w:rsid w:val="002532A5"/>
    <w:rsid w:val="0025359F"/>
    <w:rsid w:val="00254D98"/>
    <w:rsid w:val="00260DC3"/>
    <w:rsid w:val="00262640"/>
    <w:rsid w:val="00263B4C"/>
    <w:rsid w:val="00263ECF"/>
    <w:rsid w:val="002640B1"/>
    <w:rsid w:val="0026490E"/>
    <w:rsid w:val="0026616D"/>
    <w:rsid w:val="00267331"/>
    <w:rsid w:val="00273171"/>
    <w:rsid w:val="00274694"/>
    <w:rsid w:val="00276544"/>
    <w:rsid w:val="002767B1"/>
    <w:rsid w:val="00276DE5"/>
    <w:rsid w:val="00280983"/>
    <w:rsid w:val="00280C91"/>
    <w:rsid w:val="0028204E"/>
    <w:rsid w:val="002828AD"/>
    <w:rsid w:val="00282A5A"/>
    <w:rsid w:val="002839E0"/>
    <w:rsid w:val="00294AE3"/>
    <w:rsid w:val="002967F9"/>
    <w:rsid w:val="00296C23"/>
    <w:rsid w:val="002976E7"/>
    <w:rsid w:val="002A086B"/>
    <w:rsid w:val="002A0CF3"/>
    <w:rsid w:val="002A3124"/>
    <w:rsid w:val="002A3880"/>
    <w:rsid w:val="002A4CEF"/>
    <w:rsid w:val="002A53FC"/>
    <w:rsid w:val="002A57AE"/>
    <w:rsid w:val="002A5C94"/>
    <w:rsid w:val="002B0717"/>
    <w:rsid w:val="002B15E4"/>
    <w:rsid w:val="002B532F"/>
    <w:rsid w:val="002B5895"/>
    <w:rsid w:val="002B59AD"/>
    <w:rsid w:val="002B67AB"/>
    <w:rsid w:val="002C1B27"/>
    <w:rsid w:val="002C2A64"/>
    <w:rsid w:val="002C2E27"/>
    <w:rsid w:val="002C4A94"/>
    <w:rsid w:val="002D0279"/>
    <w:rsid w:val="002D10E9"/>
    <w:rsid w:val="002D60D1"/>
    <w:rsid w:val="002D6D8D"/>
    <w:rsid w:val="002D6E7E"/>
    <w:rsid w:val="002E0786"/>
    <w:rsid w:val="002E125A"/>
    <w:rsid w:val="002E3C6F"/>
    <w:rsid w:val="002E4FBF"/>
    <w:rsid w:val="002E53E2"/>
    <w:rsid w:val="002F28F0"/>
    <w:rsid w:val="002F2B9F"/>
    <w:rsid w:val="002F3E11"/>
    <w:rsid w:val="002F7AE5"/>
    <w:rsid w:val="00300C8B"/>
    <w:rsid w:val="00301C78"/>
    <w:rsid w:val="00301D8C"/>
    <w:rsid w:val="00301FA4"/>
    <w:rsid w:val="0030354E"/>
    <w:rsid w:val="003047A9"/>
    <w:rsid w:val="0030530A"/>
    <w:rsid w:val="00307A02"/>
    <w:rsid w:val="003106B9"/>
    <w:rsid w:val="00311109"/>
    <w:rsid w:val="0031199F"/>
    <w:rsid w:val="0031575A"/>
    <w:rsid w:val="003167AA"/>
    <w:rsid w:val="00316B12"/>
    <w:rsid w:val="003210A0"/>
    <w:rsid w:val="00321B46"/>
    <w:rsid w:val="00322369"/>
    <w:rsid w:val="00322622"/>
    <w:rsid w:val="003228BE"/>
    <w:rsid w:val="0032327E"/>
    <w:rsid w:val="003233DB"/>
    <w:rsid w:val="00324B89"/>
    <w:rsid w:val="00326892"/>
    <w:rsid w:val="00326EEA"/>
    <w:rsid w:val="003277C7"/>
    <w:rsid w:val="00330E51"/>
    <w:rsid w:val="003319BC"/>
    <w:rsid w:val="00331D1C"/>
    <w:rsid w:val="003322BE"/>
    <w:rsid w:val="00332497"/>
    <w:rsid w:val="00332DD4"/>
    <w:rsid w:val="00333A4D"/>
    <w:rsid w:val="00335C3A"/>
    <w:rsid w:val="00335D61"/>
    <w:rsid w:val="00336684"/>
    <w:rsid w:val="00336AA9"/>
    <w:rsid w:val="003429B7"/>
    <w:rsid w:val="003438AD"/>
    <w:rsid w:val="003440F5"/>
    <w:rsid w:val="00345C56"/>
    <w:rsid w:val="0034664D"/>
    <w:rsid w:val="00346AF9"/>
    <w:rsid w:val="00346BC0"/>
    <w:rsid w:val="003476B1"/>
    <w:rsid w:val="00347932"/>
    <w:rsid w:val="00351B17"/>
    <w:rsid w:val="00352433"/>
    <w:rsid w:val="00352634"/>
    <w:rsid w:val="003548F2"/>
    <w:rsid w:val="00354971"/>
    <w:rsid w:val="0035535E"/>
    <w:rsid w:val="003563C9"/>
    <w:rsid w:val="003568D4"/>
    <w:rsid w:val="003628D5"/>
    <w:rsid w:val="00364301"/>
    <w:rsid w:val="00366008"/>
    <w:rsid w:val="00366AB3"/>
    <w:rsid w:val="00366EDF"/>
    <w:rsid w:val="00373F17"/>
    <w:rsid w:val="00373FEA"/>
    <w:rsid w:val="00375093"/>
    <w:rsid w:val="003751D3"/>
    <w:rsid w:val="00375490"/>
    <w:rsid w:val="00376152"/>
    <w:rsid w:val="0037746A"/>
    <w:rsid w:val="00377F38"/>
    <w:rsid w:val="0038007F"/>
    <w:rsid w:val="00382B79"/>
    <w:rsid w:val="00382B8D"/>
    <w:rsid w:val="00383331"/>
    <w:rsid w:val="003877A0"/>
    <w:rsid w:val="003907FD"/>
    <w:rsid w:val="00393083"/>
    <w:rsid w:val="0039654D"/>
    <w:rsid w:val="003A05DF"/>
    <w:rsid w:val="003A0A56"/>
    <w:rsid w:val="003A4320"/>
    <w:rsid w:val="003A546C"/>
    <w:rsid w:val="003A5F81"/>
    <w:rsid w:val="003A65E1"/>
    <w:rsid w:val="003B1CAD"/>
    <w:rsid w:val="003B229C"/>
    <w:rsid w:val="003B3F6D"/>
    <w:rsid w:val="003B51B9"/>
    <w:rsid w:val="003B5289"/>
    <w:rsid w:val="003B5649"/>
    <w:rsid w:val="003B7F6F"/>
    <w:rsid w:val="003C0913"/>
    <w:rsid w:val="003C1038"/>
    <w:rsid w:val="003C150C"/>
    <w:rsid w:val="003C27F9"/>
    <w:rsid w:val="003C2E28"/>
    <w:rsid w:val="003C609F"/>
    <w:rsid w:val="003D022C"/>
    <w:rsid w:val="003D2127"/>
    <w:rsid w:val="003D2A47"/>
    <w:rsid w:val="003D2B67"/>
    <w:rsid w:val="003E0FA5"/>
    <w:rsid w:val="003E387C"/>
    <w:rsid w:val="003E4D57"/>
    <w:rsid w:val="003E4E6B"/>
    <w:rsid w:val="003E4F8B"/>
    <w:rsid w:val="003E514A"/>
    <w:rsid w:val="003E67DA"/>
    <w:rsid w:val="003E6FAB"/>
    <w:rsid w:val="003F03E0"/>
    <w:rsid w:val="003F0611"/>
    <w:rsid w:val="003F2E59"/>
    <w:rsid w:val="003F3E2E"/>
    <w:rsid w:val="003F3E71"/>
    <w:rsid w:val="003F4D33"/>
    <w:rsid w:val="003F77DD"/>
    <w:rsid w:val="004014A2"/>
    <w:rsid w:val="00401A40"/>
    <w:rsid w:val="00401E5D"/>
    <w:rsid w:val="00402214"/>
    <w:rsid w:val="00404B97"/>
    <w:rsid w:val="00404CBD"/>
    <w:rsid w:val="00404F08"/>
    <w:rsid w:val="00405055"/>
    <w:rsid w:val="00405530"/>
    <w:rsid w:val="00406852"/>
    <w:rsid w:val="0041169A"/>
    <w:rsid w:val="00413BF9"/>
    <w:rsid w:val="00414CE6"/>
    <w:rsid w:val="00415257"/>
    <w:rsid w:val="00421135"/>
    <w:rsid w:val="00421EBA"/>
    <w:rsid w:val="004220F0"/>
    <w:rsid w:val="0042336E"/>
    <w:rsid w:val="0042338E"/>
    <w:rsid w:val="00425742"/>
    <w:rsid w:val="00426271"/>
    <w:rsid w:val="00426DCF"/>
    <w:rsid w:val="0043087F"/>
    <w:rsid w:val="004330A8"/>
    <w:rsid w:val="004331F1"/>
    <w:rsid w:val="004344CF"/>
    <w:rsid w:val="004353E3"/>
    <w:rsid w:val="00435C39"/>
    <w:rsid w:val="00436316"/>
    <w:rsid w:val="00436A86"/>
    <w:rsid w:val="00436A98"/>
    <w:rsid w:val="004372BF"/>
    <w:rsid w:val="00440C34"/>
    <w:rsid w:val="004456E5"/>
    <w:rsid w:val="00445DD7"/>
    <w:rsid w:val="00446331"/>
    <w:rsid w:val="00447D01"/>
    <w:rsid w:val="004505F7"/>
    <w:rsid w:val="004505FB"/>
    <w:rsid w:val="00450743"/>
    <w:rsid w:val="0045120E"/>
    <w:rsid w:val="00454AF1"/>
    <w:rsid w:val="004564EC"/>
    <w:rsid w:val="0045777C"/>
    <w:rsid w:val="004600E0"/>
    <w:rsid w:val="004606F4"/>
    <w:rsid w:val="00460A56"/>
    <w:rsid w:val="00460E21"/>
    <w:rsid w:val="00462189"/>
    <w:rsid w:val="0046257A"/>
    <w:rsid w:val="00466647"/>
    <w:rsid w:val="00466DB1"/>
    <w:rsid w:val="00470F49"/>
    <w:rsid w:val="00472709"/>
    <w:rsid w:val="00472EFC"/>
    <w:rsid w:val="00472F09"/>
    <w:rsid w:val="00473376"/>
    <w:rsid w:val="00476288"/>
    <w:rsid w:val="00476D2B"/>
    <w:rsid w:val="004773D3"/>
    <w:rsid w:val="004778B5"/>
    <w:rsid w:val="00480029"/>
    <w:rsid w:val="00483D72"/>
    <w:rsid w:val="00486831"/>
    <w:rsid w:val="004907D7"/>
    <w:rsid w:val="004911A0"/>
    <w:rsid w:val="00491788"/>
    <w:rsid w:val="00493CB9"/>
    <w:rsid w:val="004953E8"/>
    <w:rsid w:val="00496193"/>
    <w:rsid w:val="004970E8"/>
    <w:rsid w:val="00497394"/>
    <w:rsid w:val="004A0921"/>
    <w:rsid w:val="004A1002"/>
    <w:rsid w:val="004A113F"/>
    <w:rsid w:val="004A1C88"/>
    <w:rsid w:val="004A1D69"/>
    <w:rsid w:val="004A35BC"/>
    <w:rsid w:val="004A5D42"/>
    <w:rsid w:val="004A75F3"/>
    <w:rsid w:val="004A7CA9"/>
    <w:rsid w:val="004B05EC"/>
    <w:rsid w:val="004B197E"/>
    <w:rsid w:val="004B201D"/>
    <w:rsid w:val="004B304E"/>
    <w:rsid w:val="004B5A58"/>
    <w:rsid w:val="004B5CBE"/>
    <w:rsid w:val="004B625C"/>
    <w:rsid w:val="004B731A"/>
    <w:rsid w:val="004C0E66"/>
    <w:rsid w:val="004C1E3E"/>
    <w:rsid w:val="004C2E82"/>
    <w:rsid w:val="004C32AC"/>
    <w:rsid w:val="004C5E71"/>
    <w:rsid w:val="004C7287"/>
    <w:rsid w:val="004D1F21"/>
    <w:rsid w:val="004D46DD"/>
    <w:rsid w:val="004D76DA"/>
    <w:rsid w:val="004D782E"/>
    <w:rsid w:val="004D7CEE"/>
    <w:rsid w:val="004E0B01"/>
    <w:rsid w:val="004E3DC1"/>
    <w:rsid w:val="004E54CC"/>
    <w:rsid w:val="004E5B61"/>
    <w:rsid w:val="004E697C"/>
    <w:rsid w:val="004E73BE"/>
    <w:rsid w:val="004F16B4"/>
    <w:rsid w:val="004F3057"/>
    <w:rsid w:val="004F3C10"/>
    <w:rsid w:val="004F4781"/>
    <w:rsid w:val="004F58DE"/>
    <w:rsid w:val="004F70BB"/>
    <w:rsid w:val="005005D1"/>
    <w:rsid w:val="00501046"/>
    <w:rsid w:val="00501389"/>
    <w:rsid w:val="00502B8B"/>
    <w:rsid w:val="00502F69"/>
    <w:rsid w:val="00503702"/>
    <w:rsid w:val="00503C36"/>
    <w:rsid w:val="00503DCC"/>
    <w:rsid w:val="005053A5"/>
    <w:rsid w:val="005057B4"/>
    <w:rsid w:val="00507C27"/>
    <w:rsid w:val="00511D90"/>
    <w:rsid w:val="005128D2"/>
    <w:rsid w:val="00512C1A"/>
    <w:rsid w:val="005131EA"/>
    <w:rsid w:val="00513207"/>
    <w:rsid w:val="005134FD"/>
    <w:rsid w:val="00513586"/>
    <w:rsid w:val="00513AD6"/>
    <w:rsid w:val="00514490"/>
    <w:rsid w:val="00514E58"/>
    <w:rsid w:val="00515F0F"/>
    <w:rsid w:val="00516D7C"/>
    <w:rsid w:val="00517FAA"/>
    <w:rsid w:val="00522CCD"/>
    <w:rsid w:val="00523A7B"/>
    <w:rsid w:val="005240B5"/>
    <w:rsid w:val="00524413"/>
    <w:rsid w:val="00524C71"/>
    <w:rsid w:val="00524D50"/>
    <w:rsid w:val="005266CD"/>
    <w:rsid w:val="005307CA"/>
    <w:rsid w:val="0053098E"/>
    <w:rsid w:val="00530EF5"/>
    <w:rsid w:val="00533715"/>
    <w:rsid w:val="0053777F"/>
    <w:rsid w:val="00540E31"/>
    <w:rsid w:val="005450D0"/>
    <w:rsid w:val="00545EDD"/>
    <w:rsid w:val="00546F9F"/>
    <w:rsid w:val="00547089"/>
    <w:rsid w:val="005477DE"/>
    <w:rsid w:val="00547E20"/>
    <w:rsid w:val="00551209"/>
    <w:rsid w:val="005524F9"/>
    <w:rsid w:val="0055262C"/>
    <w:rsid w:val="00553485"/>
    <w:rsid w:val="00554EF1"/>
    <w:rsid w:val="00560BB5"/>
    <w:rsid w:val="0056395A"/>
    <w:rsid w:val="00564819"/>
    <w:rsid w:val="005651EE"/>
    <w:rsid w:val="0056649A"/>
    <w:rsid w:val="005701EE"/>
    <w:rsid w:val="005707D0"/>
    <w:rsid w:val="005714D9"/>
    <w:rsid w:val="00572553"/>
    <w:rsid w:val="005735A3"/>
    <w:rsid w:val="0057402D"/>
    <w:rsid w:val="005760D3"/>
    <w:rsid w:val="005803F7"/>
    <w:rsid w:val="00580E20"/>
    <w:rsid w:val="00585107"/>
    <w:rsid w:val="00585BFB"/>
    <w:rsid w:val="0058657B"/>
    <w:rsid w:val="005865FB"/>
    <w:rsid w:val="00586AC2"/>
    <w:rsid w:val="00587671"/>
    <w:rsid w:val="0058791F"/>
    <w:rsid w:val="00590848"/>
    <w:rsid w:val="005914B7"/>
    <w:rsid w:val="00593682"/>
    <w:rsid w:val="00594882"/>
    <w:rsid w:val="00596476"/>
    <w:rsid w:val="005964C5"/>
    <w:rsid w:val="00597773"/>
    <w:rsid w:val="00597FBE"/>
    <w:rsid w:val="005A1AB7"/>
    <w:rsid w:val="005A4DB4"/>
    <w:rsid w:val="005A587C"/>
    <w:rsid w:val="005B0446"/>
    <w:rsid w:val="005B3D45"/>
    <w:rsid w:val="005B5E8B"/>
    <w:rsid w:val="005C09FA"/>
    <w:rsid w:val="005C14BD"/>
    <w:rsid w:val="005C1723"/>
    <w:rsid w:val="005C245C"/>
    <w:rsid w:val="005C370A"/>
    <w:rsid w:val="005C629E"/>
    <w:rsid w:val="005C65E0"/>
    <w:rsid w:val="005C72A1"/>
    <w:rsid w:val="005D0E6B"/>
    <w:rsid w:val="005D259F"/>
    <w:rsid w:val="005D3145"/>
    <w:rsid w:val="005D4B42"/>
    <w:rsid w:val="005D5D46"/>
    <w:rsid w:val="005D754B"/>
    <w:rsid w:val="005E08F5"/>
    <w:rsid w:val="005E0B11"/>
    <w:rsid w:val="005E11B1"/>
    <w:rsid w:val="005E381D"/>
    <w:rsid w:val="005E430C"/>
    <w:rsid w:val="005E5348"/>
    <w:rsid w:val="005E6C4A"/>
    <w:rsid w:val="005F2001"/>
    <w:rsid w:val="005F2FD3"/>
    <w:rsid w:val="005F3892"/>
    <w:rsid w:val="005F3C59"/>
    <w:rsid w:val="005F3DC1"/>
    <w:rsid w:val="005F518A"/>
    <w:rsid w:val="005F5C78"/>
    <w:rsid w:val="005F60B1"/>
    <w:rsid w:val="005F6C5A"/>
    <w:rsid w:val="005F738D"/>
    <w:rsid w:val="00604B94"/>
    <w:rsid w:val="00604BEF"/>
    <w:rsid w:val="006061BE"/>
    <w:rsid w:val="0060643A"/>
    <w:rsid w:val="00606EF9"/>
    <w:rsid w:val="00607AB7"/>
    <w:rsid w:val="006119C8"/>
    <w:rsid w:val="006124C1"/>
    <w:rsid w:val="00613CD9"/>
    <w:rsid w:val="006143B0"/>
    <w:rsid w:val="006155A7"/>
    <w:rsid w:val="006164C8"/>
    <w:rsid w:val="00616BBF"/>
    <w:rsid w:val="0061751C"/>
    <w:rsid w:val="00623C75"/>
    <w:rsid w:val="00625E83"/>
    <w:rsid w:val="006269F3"/>
    <w:rsid w:val="00630EB6"/>
    <w:rsid w:val="00631991"/>
    <w:rsid w:val="006321F3"/>
    <w:rsid w:val="006321FE"/>
    <w:rsid w:val="006352B1"/>
    <w:rsid w:val="00637A12"/>
    <w:rsid w:val="006406EC"/>
    <w:rsid w:val="00640CC4"/>
    <w:rsid w:val="00642392"/>
    <w:rsid w:val="0064383B"/>
    <w:rsid w:val="006443E4"/>
    <w:rsid w:val="006456B8"/>
    <w:rsid w:val="00655269"/>
    <w:rsid w:val="00655437"/>
    <w:rsid w:val="006559DE"/>
    <w:rsid w:val="00655F10"/>
    <w:rsid w:val="0065628D"/>
    <w:rsid w:val="00657A73"/>
    <w:rsid w:val="00660E8F"/>
    <w:rsid w:val="00661C62"/>
    <w:rsid w:val="00662350"/>
    <w:rsid w:val="006629F4"/>
    <w:rsid w:val="00662C49"/>
    <w:rsid w:val="00663095"/>
    <w:rsid w:val="0066380A"/>
    <w:rsid w:val="00664965"/>
    <w:rsid w:val="0066506E"/>
    <w:rsid w:val="00665E24"/>
    <w:rsid w:val="00666983"/>
    <w:rsid w:val="00667671"/>
    <w:rsid w:val="00667A03"/>
    <w:rsid w:val="00671D92"/>
    <w:rsid w:val="00675D72"/>
    <w:rsid w:val="006760ED"/>
    <w:rsid w:val="006761DC"/>
    <w:rsid w:val="00676D10"/>
    <w:rsid w:val="00677314"/>
    <w:rsid w:val="006779E9"/>
    <w:rsid w:val="006802A4"/>
    <w:rsid w:val="006821F0"/>
    <w:rsid w:val="00683C21"/>
    <w:rsid w:val="00684B48"/>
    <w:rsid w:val="00685CBA"/>
    <w:rsid w:val="00686F4D"/>
    <w:rsid w:val="00687095"/>
    <w:rsid w:val="00687359"/>
    <w:rsid w:val="0069053E"/>
    <w:rsid w:val="006905F6"/>
    <w:rsid w:val="0069236E"/>
    <w:rsid w:val="00694694"/>
    <w:rsid w:val="00694A45"/>
    <w:rsid w:val="00695285"/>
    <w:rsid w:val="00695C14"/>
    <w:rsid w:val="00697AAE"/>
    <w:rsid w:val="006A4A23"/>
    <w:rsid w:val="006A4D95"/>
    <w:rsid w:val="006A4DCF"/>
    <w:rsid w:val="006A4F14"/>
    <w:rsid w:val="006A6819"/>
    <w:rsid w:val="006B1766"/>
    <w:rsid w:val="006B1DE0"/>
    <w:rsid w:val="006B2EF5"/>
    <w:rsid w:val="006B31D5"/>
    <w:rsid w:val="006B6008"/>
    <w:rsid w:val="006B6156"/>
    <w:rsid w:val="006B66EC"/>
    <w:rsid w:val="006B6909"/>
    <w:rsid w:val="006B72E5"/>
    <w:rsid w:val="006B7699"/>
    <w:rsid w:val="006B79DA"/>
    <w:rsid w:val="006B7C80"/>
    <w:rsid w:val="006C0E41"/>
    <w:rsid w:val="006C1759"/>
    <w:rsid w:val="006C4E1F"/>
    <w:rsid w:val="006C50E1"/>
    <w:rsid w:val="006C6651"/>
    <w:rsid w:val="006D06E7"/>
    <w:rsid w:val="006D22DB"/>
    <w:rsid w:val="006D3B48"/>
    <w:rsid w:val="006D4EE1"/>
    <w:rsid w:val="006D56DD"/>
    <w:rsid w:val="006D5DCB"/>
    <w:rsid w:val="006D69AE"/>
    <w:rsid w:val="006D6CFA"/>
    <w:rsid w:val="006D6FB1"/>
    <w:rsid w:val="006E1D93"/>
    <w:rsid w:val="006E27B6"/>
    <w:rsid w:val="006E6490"/>
    <w:rsid w:val="006E7859"/>
    <w:rsid w:val="006F0D99"/>
    <w:rsid w:val="006F19DC"/>
    <w:rsid w:val="006F2AA4"/>
    <w:rsid w:val="006F2B73"/>
    <w:rsid w:val="006F640F"/>
    <w:rsid w:val="00700131"/>
    <w:rsid w:val="00701762"/>
    <w:rsid w:val="007022E5"/>
    <w:rsid w:val="0070247F"/>
    <w:rsid w:val="00702866"/>
    <w:rsid w:val="00702C92"/>
    <w:rsid w:val="0070585F"/>
    <w:rsid w:val="00706883"/>
    <w:rsid w:val="0070761D"/>
    <w:rsid w:val="0070771C"/>
    <w:rsid w:val="00710DB4"/>
    <w:rsid w:val="00711DC4"/>
    <w:rsid w:val="007147D5"/>
    <w:rsid w:val="00714AD4"/>
    <w:rsid w:val="00714F42"/>
    <w:rsid w:val="00720F70"/>
    <w:rsid w:val="0072113B"/>
    <w:rsid w:val="00721581"/>
    <w:rsid w:val="00721878"/>
    <w:rsid w:val="00721F76"/>
    <w:rsid w:val="007222C0"/>
    <w:rsid w:val="00722909"/>
    <w:rsid w:val="00723A45"/>
    <w:rsid w:val="00724B53"/>
    <w:rsid w:val="00725824"/>
    <w:rsid w:val="007259BA"/>
    <w:rsid w:val="00726D95"/>
    <w:rsid w:val="00727526"/>
    <w:rsid w:val="0073097C"/>
    <w:rsid w:val="00730DCB"/>
    <w:rsid w:val="00734B1B"/>
    <w:rsid w:val="00736776"/>
    <w:rsid w:val="00740242"/>
    <w:rsid w:val="00740CCF"/>
    <w:rsid w:val="0074280D"/>
    <w:rsid w:val="00742A8D"/>
    <w:rsid w:val="00742E2D"/>
    <w:rsid w:val="0074313E"/>
    <w:rsid w:val="00744570"/>
    <w:rsid w:val="0074473D"/>
    <w:rsid w:val="0074500E"/>
    <w:rsid w:val="00745D7B"/>
    <w:rsid w:val="00746F68"/>
    <w:rsid w:val="00751D4B"/>
    <w:rsid w:val="00752E2E"/>
    <w:rsid w:val="00753C30"/>
    <w:rsid w:val="00754753"/>
    <w:rsid w:val="0075587E"/>
    <w:rsid w:val="007576CE"/>
    <w:rsid w:val="00761E37"/>
    <w:rsid w:val="00762B49"/>
    <w:rsid w:val="007631E1"/>
    <w:rsid w:val="00763727"/>
    <w:rsid w:val="00763867"/>
    <w:rsid w:val="00764105"/>
    <w:rsid w:val="00765607"/>
    <w:rsid w:val="0076582A"/>
    <w:rsid w:val="00766BB8"/>
    <w:rsid w:val="00766BCA"/>
    <w:rsid w:val="00767EE4"/>
    <w:rsid w:val="00772281"/>
    <w:rsid w:val="0077249C"/>
    <w:rsid w:val="00773273"/>
    <w:rsid w:val="00773278"/>
    <w:rsid w:val="007742FA"/>
    <w:rsid w:val="00776A92"/>
    <w:rsid w:val="00776D5F"/>
    <w:rsid w:val="00780D12"/>
    <w:rsid w:val="00780F59"/>
    <w:rsid w:val="0078145D"/>
    <w:rsid w:val="0078362D"/>
    <w:rsid w:val="007840CC"/>
    <w:rsid w:val="00784798"/>
    <w:rsid w:val="007876B6"/>
    <w:rsid w:val="007877F3"/>
    <w:rsid w:val="00787CD6"/>
    <w:rsid w:val="00791353"/>
    <w:rsid w:val="007927BE"/>
    <w:rsid w:val="007927E8"/>
    <w:rsid w:val="007A0AC2"/>
    <w:rsid w:val="007A36F3"/>
    <w:rsid w:val="007A6A28"/>
    <w:rsid w:val="007A7D79"/>
    <w:rsid w:val="007B0B5F"/>
    <w:rsid w:val="007B104E"/>
    <w:rsid w:val="007B18C3"/>
    <w:rsid w:val="007B2019"/>
    <w:rsid w:val="007B2C42"/>
    <w:rsid w:val="007B75B1"/>
    <w:rsid w:val="007C22B7"/>
    <w:rsid w:val="007C2792"/>
    <w:rsid w:val="007C3702"/>
    <w:rsid w:val="007C4CD3"/>
    <w:rsid w:val="007C6060"/>
    <w:rsid w:val="007C6152"/>
    <w:rsid w:val="007C706B"/>
    <w:rsid w:val="007C7909"/>
    <w:rsid w:val="007D0F09"/>
    <w:rsid w:val="007D12E3"/>
    <w:rsid w:val="007D2793"/>
    <w:rsid w:val="007D33D1"/>
    <w:rsid w:val="007D4555"/>
    <w:rsid w:val="007D5154"/>
    <w:rsid w:val="007D5C2F"/>
    <w:rsid w:val="007D6354"/>
    <w:rsid w:val="007E279B"/>
    <w:rsid w:val="007E2E9B"/>
    <w:rsid w:val="007E45C7"/>
    <w:rsid w:val="007E49E6"/>
    <w:rsid w:val="007E5BC4"/>
    <w:rsid w:val="007F03B9"/>
    <w:rsid w:val="007F0937"/>
    <w:rsid w:val="007F129A"/>
    <w:rsid w:val="007F14EA"/>
    <w:rsid w:val="007F159A"/>
    <w:rsid w:val="007F1BCC"/>
    <w:rsid w:val="007F27B5"/>
    <w:rsid w:val="007F4E7E"/>
    <w:rsid w:val="007F5903"/>
    <w:rsid w:val="007F6522"/>
    <w:rsid w:val="007F6DED"/>
    <w:rsid w:val="007F72C9"/>
    <w:rsid w:val="00800D67"/>
    <w:rsid w:val="008022E5"/>
    <w:rsid w:val="008029B7"/>
    <w:rsid w:val="00802F2F"/>
    <w:rsid w:val="008059B0"/>
    <w:rsid w:val="0081137B"/>
    <w:rsid w:val="00811A04"/>
    <w:rsid w:val="00811D32"/>
    <w:rsid w:val="008141B0"/>
    <w:rsid w:val="00815BF3"/>
    <w:rsid w:val="0081687C"/>
    <w:rsid w:val="00816FDD"/>
    <w:rsid w:val="00817DC1"/>
    <w:rsid w:val="00820A86"/>
    <w:rsid w:val="00822C0D"/>
    <w:rsid w:val="00823513"/>
    <w:rsid w:val="00823873"/>
    <w:rsid w:val="00824B29"/>
    <w:rsid w:val="00825584"/>
    <w:rsid w:val="008261AB"/>
    <w:rsid w:val="008264F9"/>
    <w:rsid w:val="00827995"/>
    <w:rsid w:val="008332DE"/>
    <w:rsid w:val="00834BE3"/>
    <w:rsid w:val="008371CA"/>
    <w:rsid w:val="008372C1"/>
    <w:rsid w:val="00841281"/>
    <w:rsid w:val="00842E9F"/>
    <w:rsid w:val="00844520"/>
    <w:rsid w:val="008450FD"/>
    <w:rsid w:val="008453DA"/>
    <w:rsid w:val="00845D0F"/>
    <w:rsid w:val="0084614B"/>
    <w:rsid w:val="00846EB2"/>
    <w:rsid w:val="0084755F"/>
    <w:rsid w:val="00847A35"/>
    <w:rsid w:val="008501E3"/>
    <w:rsid w:val="008502B3"/>
    <w:rsid w:val="008502C3"/>
    <w:rsid w:val="0085033C"/>
    <w:rsid w:val="008525D4"/>
    <w:rsid w:val="00854229"/>
    <w:rsid w:val="0085453D"/>
    <w:rsid w:val="00855537"/>
    <w:rsid w:val="00855842"/>
    <w:rsid w:val="00856AE4"/>
    <w:rsid w:val="00857CF2"/>
    <w:rsid w:val="008617FF"/>
    <w:rsid w:val="00861A34"/>
    <w:rsid w:val="008643EC"/>
    <w:rsid w:val="00864CDE"/>
    <w:rsid w:val="00866585"/>
    <w:rsid w:val="00866617"/>
    <w:rsid w:val="008678F7"/>
    <w:rsid w:val="00867CC6"/>
    <w:rsid w:val="0087017E"/>
    <w:rsid w:val="00870FAE"/>
    <w:rsid w:val="00872555"/>
    <w:rsid w:val="008729D3"/>
    <w:rsid w:val="008764BF"/>
    <w:rsid w:val="00876643"/>
    <w:rsid w:val="00876CEE"/>
    <w:rsid w:val="0088221B"/>
    <w:rsid w:val="00883B33"/>
    <w:rsid w:val="00883B39"/>
    <w:rsid w:val="00883B46"/>
    <w:rsid w:val="00883F2D"/>
    <w:rsid w:val="008843E2"/>
    <w:rsid w:val="00884589"/>
    <w:rsid w:val="00891794"/>
    <w:rsid w:val="00891B72"/>
    <w:rsid w:val="00892452"/>
    <w:rsid w:val="00892FDA"/>
    <w:rsid w:val="008939C8"/>
    <w:rsid w:val="0089701A"/>
    <w:rsid w:val="008A06E6"/>
    <w:rsid w:val="008A0DF7"/>
    <w:rsid w:val="008A13FB"/>
    <w:rsid w:val="008A3298"/>
    <w:rsid w:val="008A4BE7"/>
    <w:rsid w:val="008A4EB0"/>
    <w:rsid w:val="008A558C"/>
    <w:rsid w:val="008A6389"/>
    <w:rsid w:val="008A6BCD"/>
    <w:rsid w:val="008A6D35"/>
    <w:rsid w:val="008A6FDF"/>
    <w:rsid w:val="008B0965"/>
    <w:rsid w:val="008B20E1"/>
    <w:rsid w:val="008B2E8B"/>
    <w:rsid w:val="008B37A4"/>
    <w:rsid w:val="008B4556"/>
    <w:rsid w:val="008B4D32"/>
    <w:rsid w:val="008B5B32"/>
    <w:rsid w:val="008B6854"/>
    <w:rsid w:val="008B69A3"/>
    <w:rsid w:val="008B7958"/>
    <w:rsid w:val="008C0B60"/>
    <w:rsid w:val="008C1466"/>
    <w:rsid w:val="008C1AC5"/>
    <w:rsid w:val="008C3042"/>
    <w:rsid w:val="008C443B"/>
    <w:rsid w:val="008C67E7"/>
    <w:rsid w:val="008C7DC0"/>
    <w:rsid w:val="008D1C2C"/>
    <w:rsid w:val="008D7422"/>
    <w:rsid w:val="008E1910"/>
    <w:rsid w:val="008E2F63"/>
    <w:rsid w:val="008E32A5"/>
    <w:rsid w:val="008E34FA"/>
    <w:rsid w:val="008E4A0E"/>
    <w:rsid w:val="008E70C0"/>
    <w:rsid w:val="008E7D55"/>
    <w:rsid w:val="008F0C1F"/>
    <w:rsid w:val="008F1923"/>
    <w:rsid w:val="008F2245"/>
    <w:rsid w:val="008F25B1"/>
    <w:rsid w:val="008F3F41"/>
    <w:rsid w:val="008F4F27"/>
    <w:rsid w:val="008F55CE"/>
    <w:rsid w:val="008F5C71"/>
    <w:rsid w:val="008F5E47"/>
    <w:rsid w:val="008F68E4"/>
    <w:rsid w:val="008F6A87"/>
    <w:rsid w:val="008F7EE7"/>
    <w:rsid w:val="00902714"/>
    <w:rsid w:val="009030C1"/>
    <w:rsid w:val="009048DC"/>
    <w:rsid w:val="00905434"/>
    <w:rsid w:val="0090646A"/>
    <w:rsid w:val="00906C97"/>
    <w:rsid w:val="00907269"/>
    <w:rsid w:val="00907DB8"/>
    <w:rsid w:val="009100AC"/>
    <w:rsid w:val="00911091"/>
    <w:rsid w:val="00911D51"/>
    <w:rsid w:val="009124E3"/>
    <w:rsid w:val="00912DD8"/>
    <w:rsid w:val="00913B45"/>
    <w:rsid w:val="00914F17"/>
    <w:rsid w:val="00920D02"/>
    <w:rsid w:val="009218E3"/>
    <w:rsid w:val="00922BFF"/>
    <w:rsid w:val="00923329"/>
    <w:rsid w:val="009247F7"/>
    <w:rsid w:val="009257D6"/>
    <w:rsid w:val="009307D9"/>
    <w:rsid w:val="00930888"/>
    <w:rsid w:val="00930C11"/>
    <w:rsid w:val="00933436"/>
    <w:rsid w:val="00934205"/>
    <w:rsid w:val="00934993"/>
    <w:rsid w:val="009362AD"/>
    <w:rsid w:val="00936B33"/>
    <w:rsid w:val="009372A2"/>
    <w:rsid w:val="0093758F"/>
    <w:rsid w:val="009403BB"/>
    <w:rsid w:val="009423D2"/>
    <w:rsid w:val="00942830"/>
    <w:rsid w:val="00944EC6"/>
    <w:rsid w:val="00945525"/>
    <w:rsid w:val="0095098E"/>
    <w:rsid w:val="009516F5"/>
    <w:rsid w:val="009551E3"/>
    <w:rsid w:val="00955339"/>
    <w:rsid w:val="009553D6"/>
    <w:rsid w:val="009570E9"/>
    <w:rsid w:val="0095725E"/>
    <w:rsid w:val="00961457"/>
    <w:rsid w:val="009625F9"/>
    <w:rsid w:val="009633C5"/>
    <w:rsid w:val="00967958"/>
    <w:rsid w:val="00967B96"/>
    <w:rsid w:val="009703C5"/>
    <w:rsid w:val="009703EB"/>
    <w:rsid w:val="00970A3C"/>
    <w:rsid w:val="00970ACF"/>
    <w:rsid w:val="00971136"/>
    <w:rsid w:val="009712B2"/>
    <w:rsid w:val="0097346E"/>
    <w:rsid w:val="00977563"/>
    <w:rsid w:val="009778FC"/>
    <w:rsid w:val="009800F3"/>
    <w:rsid w:val="009801FF"/>
    <w:rsid w:val="0098286B"/>
    <w:rsid w:val="00983755"/>
    <w:rsid w:val="00984D63"/>
    <w:rsid w:val="0098512F"/>
    <w:rsid w:val="0099210F"/>
    <w:rsid w:val="009924E1"/>
    <w:rsid w:val="00994516"/>
    <w:rsid w:val="009948BE"/>
    <w:rsid w:val="00995577"/>
    <w:rsid w:val="009957AE"/>
    <w:rsid w:val="00996948"/>
    <w:rsid w:val="00997B44"/>
    <w:rsid w:val="00997F08"/>
    <w:rsid w:val="009A140A"/>
    <w:rsid w:val="009A2A64"/>
    <w:rsid w:val="009A3A9E"/>
    <w:rsid w:val="009A3B87"/>
    <w:rsid w:val="009A4B50"/>
    <w:rsid w:val="009A5322"/>
    <w:rsid w:val="009A6D56"/>
    <w:rsid w:val="009A72D0"/>
    <w:rsid w:val="009A7771"/>
    <w:rsid w:val="009A7917"/>
    <w:rsid w:val="009B0D68"/>
    <w:rsid w:val="009B160C"/>
    <w:rsid w:val="009B19CE"/>
    <w:rsid w:val="009B1CC0"/>
    <w:rsid w:val="009B1E0B"/>
    <w:rsid w:val="009B2362"/>
    <w:rsid w:val="009B5D90"/>
    <w:rsid w:val="009B6ABC"/>
    <w:rsid w:val="009C338A"/>
    <w:rsid w:val="009C3C91"/>
    <w:rsid w:val="009C5419"/>
    <w:rsid w:val="009C56A8"/>
    <w:rsid w:val="009C5C0F"/>
    <w:rsid w:val="009C6321"/>
    <w:rsid w:val="009C675D"/>
    <w:rsid w:val="009D0053"/>
    <w:rsid w:val="009D0797"/>
    <w:rsid w:val="009D490E"/>
    <w:rsid w:val="009D5D4C"/>
    <w:rsid w:val="009D6C0B"/>
    <w:rsid w:val="009E347C"/>
    <w:rsid w:val="009E3FEC"/>
    <w:rsid w:val="009E49F8"/>
    <w:rsid w:val="009E63AA"/>
    <w:rsid w:val="009F1C20"/>
    <w:rsid w:val="009F1F67"/>
    <w:rsid w:val="009F2B7E"/>
    <w:rsid w:val="00A0209F"/>
    <w:rsid w:val="00A021F5"/>
    <w:rsid w:val="00A06DFD"/>
    <w:rsid w:val="00A07453"/>
    <w:rsid w:val="00A111A6"/>
    <w:rsid w:val="00A11698"/>
    <w:rsid w:val="00A124EF"/>
    <w:rsid w:val="00A14783"/>
    <w:rsid w:val="00A15682"/>
    <w:rsid w:val="00A16027"/>
    <w:rsid w:val="00A174AA"/>
    <w:rsid w:val="00A17A99"/>
    <w:rsid w:val="00A21396"/>
    <w:rsid w:val="00A217C0"/>
    <w:rsid w:val="00A231DC"/>
    <w:rsid w:val="00A2509F"/>
    <w:rsid w:val="00A25112"/>
    <w:rsid w:val="00A2604C"/>
    <w:rsid w:val="00A3271C"/>
    <w:rsid w:val="00A334C5"/>
    <w:rsid w:val="00A3453D"/>
    <w:rsid w:val="00A352DF"/>
    <w:rsid w:val="00A37839"/>
    <w:rsid w:val="00A4153E"/>
    <w:rsid w:val="00A42D51"/>
    <w:rsid w:val="00A445A1"/>
    <w:rsid w:val="00A445B4"/>
    <w:rsid w:val="00A459D2"/>
    <w:rsid w:val="00A45FE7"/>
    <w:rsid w:val="00A46328"/>
    <w:rsid w:val="00A467B3"/>
    <w:rsid w:val="00A472CC"/>
    <w:rsid w:val="00A476E3"/>
    <w:rsid w:val="00A50305"/>
    <w:rsid w:val="00A50FB3"/>
    <w:rsid w:val="00A51F20"/>
    <w:rsid w:val="00A52551"/>
    <w:rsid w:val="00A52F15"/>
    <w:rsid w:val="00A54684"/>
    <w:rsid w:val="00A54765"/>
    <w:rsid w:val="00A55818"/>
    <w:rsid w:val="00A55904"/>
    <w:rsid w:val="00A55B5B"/>
    <w:rsid w:val="00A566B6"/>
    <w:rsid w:val="00A60073"/>
    <w:rsid w:val="00A60114"/>
    <w:rsid w:val="00A605C0"/>
    <w:rsid w:val="00A60EAA"/>
    <w:rsid w:val="00A6386B"/>
    <w:rsid w:val="00A64E67"/>
    <w:rsid w:val="00A65161"/>
    <w:rsid w:val="00A65431"/>
    <w:rsid w:val="00A670DA"/>
    <w:rsid w:val="00A71742"/>
    <w:rsid w:val="00A75C2C"/>
    <w:rsid w:val="00A76366"/>
    <w:rsid w:val="00A76D9F"/>
    <w:rsid w:val="00A777CE"/>
    <w:rsid w:val="00A81EB1"/>
    <w:rsid w:val="00A835EC"/>
    <w:rsid w:val="00A85557"/>
    <w:rsid w:val="00A903D8"/>
    <w:rsid w:val="00A908E4"/>
    <w:rsid w:val="00A913C2"/>
    <w:rsid w:val="00A93EB7"/>
    <w:rsid w:val="00A957AC"/>
    <w:rsid w:val="00A961FF"/>
    <w:rsid w:val="00A96728"/>
    <w:rsid w:val="00A970E1"/>
    <w:rsid w:val="00A9767A"/>
    <w:rsid w:val="00AA0783"/>
    <w:rsid w:val="00AA1BC5"/>
    <w:rsid w:val="00AA253D"/>
    <w:rsid w:val="00AA264D"/>
    <w:rsid w:val="00AA33D3"/>
    <w:rsid w:val="00AA45AB"/>
    <w:rsid w:val="00AA4B23"/>
    <w:rsid w:val="00AA4E42"/>
    <w:rsid w:val="00AA63F8"/>
    <w:rsid w:val="00AA644E"/>
    <w:rsid w:val="00AA6AE4"/>
    <w:rsid w:val="00AA75BB"/>
    <w:rsid w:val="00AA7F18"/>
    <w:rsid w:val="00AB1059"/>
    <w:rsid w:val="00AB157B"/>
    <w:rsid w:val="00AB2C79"/>
    <w:rsid w:val="00AB3FF2"/>
    <w:rsid w:val="00AB415B"/>
    <w:rsid w:val="00AB5CC9"/>
    <w:rsid w:val="00AB6662"/>
    <w:rsid w:val="00AB67CD"/>
    <w:rsid w:val="00AB727F"/>
    <w:rsid w:val="00AB7AC4"/>
    <w:rsid w:val="00AC07A4"/>
    <w:rsid w:val="00AC177C"/>
    <w:rsid w:val="00AC2051"/>
    <w:rsid w:val="00AC2AEA"/>
    <w:rsid w:val="00AC366D"/>
    <w:rsid w:val="00AC4C6A"/>
    <w:rsid w:val="00AC5155"/>
    <w:rsid w:val="00AC5858"/>
    <w:rsid w:val="00AC5E99"/>
    <w:rsid w:val="00AC794F"/>
    <w:rsid w:val="00AC7EEE"/>
    <w:rsid w:val="00AD17D0"/>
    <w:rsid w:val="00AD234D"/>
    <w:rsid w:val="00AD3A12"/>
    <w:rsid w:val="00AD3B90"/>
    <w:rsid w:val="00AD55B1"/>
    <w:rsid w:val="00AD573D"/>
    <w:rsid w:val="00AD6693"/>
    <w:rsid w:val="00AE1DF8"/>
    <w:rsid w:val="00AE245A"/>
    <w:rsid w:val="00AE7B1A"/>
    <w:rsid w:val="00AF0849"/>
    <w:rsid w:val="00AF08D7"/>
    <w:rsid w:val="00AF172E"/>
    <w:rsid w:val="00AF1D93"/>
    <w:rsid w:val="00AF2B6F"/>
    <w:rsid w:val="00AF2E14"/>
    <w:rsid w:val="00AF3EA8"/>
    <w:rsid w:val="00AF408C"/>
    <w:rsid w:val="00AF4124"/>
    <w:rsid w:val="00AF5CD3"/>
    <w:rsid w:val="00AF6085"/>
    <w:rsid w:val="00B00641"/>
    <w:rsid w:val="00B01243"/>
    <w:rsid w:val="00B01AE3"/>
    <w:rsid w:val="00B0200B"/>
    <w:rsid w:val="00B02CE3"/>
    <w:rsid w:val="00B04B59"/>
    <w:rsid w:val="00B10378"/>
    <w:rsid w:val="00B118B3"/>
    <w:rsid w:val="00B127FC"/>
    <w:rsid w:val="00B128F3"/>
    <w:rsid w:val="00B1491F"/>
    <w:rsid w:val="00B160BD"/>
    <w:rsid w:val="00B16427"/>
    <w:rsid w:val="00B17A35"/>
    <w:rsid w:val="00B2072F"/>
    <w:rsid w:val="00B21DB2"/>
    <w:rsid w:val="00B22983"/>
    <w:rsid w:val="00B22DD3"/>
    <w:rsid w:val="00B2340A"/>
    <w:rsid w:val="00B266B0"/>
    <w:rsid w:val="00B2691C"/>
    <w:rsid w:val="00B270E9"/>
    <w:rsid w:val="00B2778C"/>
    <w:rsid w:val="00B31416"/>
    <w:rsid w:val="00B32974"/>
    <w:rsid w:val="00B329C5"/>
    <w:rsid w:val="00B32EDA"/>
    <w:rsid w:val="00B33362"/>
    <w:rsid w:val="00B34541"/>
    <w:rsid w:val="00B3535D"/>
    <w:rsid w:val="00B360B7"/>
    <w:rsid w:val="00B36260"/>
    <w:rsid w:val="00B367D1"/>
    <w:rsid w:val="00B37E2B"/>
    <w:rsid w:val="00B41A8E"/>
    <w:rsid w:val="00B42159"/>
    <w:rsid w:val="00B431DC"/>
    <w:rsid w:val="00B45891"/>
    <w:rsid w:val="00B4594C"/>
    <w:rsid w:val="00B47E6B"/>
    <w:rsid w:val="00B5117C"/>
    <w:rsid w:val="00B5642F"/>
    <w:rsid w:val="00B574A1"/>
    <w:rsid w:val="00B57E44"/>
    <w:rsid w:val="00B6158F"/>
    <w:rsid w:val="00B64957"/>
    <w:rsid w:val="00B64BB4"/>
    <w:rsid w:val="00B64C6D"/>
    <w:rsid w:val="00B65A17"/>
    <w:rsid w:val="00B675D8"/>
    <w:rsid w:val="00B7137C"/>
    <w:rsid w:val="00B71CDC"/>
    <w:rsid w:val="00B73153"/>
    <w:rsid w:val="00B7404A"/>
    <w:rsid w:val="00B7449E"/>
    <w:rsid w:val="00B76836"/>
    <w:rsid w:val="00B769D6"/>
    <w:rsid w:val="00B76D2F"/>
    <w:rsid w:val="00B76DEB"/>
    <w:rsid w:val="00B775D9"/>
    <w:rsid w:val="00B8252E"/>
    <w:rsid w:val="00B83969"/>
    <w:rsid w:val="00B847A2"/>
    <w:rsid w:val="00B84FE1"/>
    <w:rsid w:val="00B861D2"/>
    <w:rsid w:val="00B8717C"/>
    <w:rsid w:val="00B903D7"/>
    <w:rsid w:val="00B904CA"/>
    <w:rsid w:val="00B90631"/>
    <w:rsid w:val="00B91CC9"/>
    <w:rsid w:val="00B95790"/>
    <w:rsid w:val="00B9664A"/>
    <w:rsid w:val="00BA05B2"/>
    <w:rsid w:val="00BA23DD"/>
    <w:rsid w:val="00BA2498"/>
    <w:rsid w:val="00BA33C4"/>
    <w:rsid w:val="00BA3B9C"/>
    <w:rsid w:val="00BA457F"/>
    <w:rsid w:val="00BA5939"/>
    <w:rsid w:val="00BA5F4A"/>
    <w:rsid w:val="00BA66F7"/>
    <w:rsid w:val="00BB002A"/>
    <w:rsid w:val="00BB1194"/>
    <w:rsid w:val="00BB2249"/>
    <w:rsid w:val="00BB2A13"/>
    <w:rsid w:val="00BB3C5F"/>
    <w:rsid w:val="00BB3EF1"/>
    <w:rsid w:val="00BB46C9"/>
    <w:rsid w:val="00BB5DFB"/>
    <w:rsid w:val="00BB701E"/>
    <w:rsid w:val="00BC32D7"/>
    <w:rsid w:val="00BC364C"/>
    <w:rsid w:val="00BC3EAB"/>
    <w:rsid w:val="00BC4B87"/>
    <w:rsid w:val="00BC5282"/>
    <w:rsid w:val="00BC7F3A"/>
    <w:rsid w:val="00BD3838"/>
    <w:rsid w:val="00BD44DC"/>
    <w:rsid w:val="00BD609C"/>
    <w:rsid w:val="00BD60E2"/>
    <w:rsid w:val="00BE0341"/>
    <w:rsid w:val="00BE0437"/>
    <w:rsid w:val="00BE0DE4"/>
    <w:rsid w:val="00BE221C"/>
    <w:rsid w:val="00BE2A87"/>
    <w:rsid w:val="00BE2D29"/>
    <w:rsid w:val="00BE7231"/>
    <w:rsid w:val="00BF03C9"/>
    <w:rsid w:val="00BF0912"/>
    <w:rsid w:val="00BF0CE6"/>
    <w:rsid w:val="00BF13CE"/>
    <w:rsid w:val="00BF1708"/>
    <w:rsid w:val="00BF2147"/>
    <w:rsid w:val="00BF3EDE"/>
    <w:rsid w:val="00BF480F"/>
    <w:rsid w:val="00BF48E4"/>
    <w:rsid w:val="00BF4E63"/>
    <w:rsid w:val="00BF610A"/>
    <w:rsid w:val="00BF62CC"/>
    <w:rsid w:val="00C04C10"/>
    <w:rsid w:val="00C07DF6"/>
    <w:rsid w:val="00C11605"/>
    <w:rsid w:val="00C152EA"/>
    <w:rsid w:val="00C2146A"/>
    <w:rsid w:val="00C24153"/>
    <w:rsid w:val="00C24CEF"/>
    <w:rsid w:val="00C24FBF"/>
    <w:rsid w:val="00C252A0"/>
    <w:rsid w:val="00C25697"/>
    <w:rsid w:val="00C26313"/>
    <w:rsid w:val="00C2647C"/>
    <w:rsid w:val="00C270EB"/>
    <w:rsid w:val="00C27FA6"/>
    <w:rsid w:val="00C30F95"/>
    <w:rsid w:val="00C32021"/>
    <w:rsid w:val="00C32AE9"/>
    <w:rsid w:val="00C35DD0"/>
    <w:rsid w:val="00C36369"/>
    <w:rsid w:val="00C41825"/>
    <w:rsid w:val="00C4188C"/>
    <w:rsid w:val="00C4227D"/>
    <w:rsid w:val="00C42E3D"/>
    <w:rsid w:val="00C44E46"/>
    <w:rsid w:val="00C455B5"/>
    <w:rsid w:val="00C456A5"/>
    <w:rsid w:val="00C5335A"/>
    <w:rsid w:val="00C53381"/>
    <w:rsid w:val="00C53EC4"/>
    <w:rsid w:val="00C54A3A"/>
    <w:rsid w:val="00C54BB1"/>
    <w:rsid w:val="00C567F2"/>
    <w:rsid w:val="00C6034B"/>
    <w:rsid w:val="00C603C6"/>
    <w:rsid w:val="00C613B1"/>
    <w:rsid w:val="00C6181F"/>
    <w:rsid w:val="00C654FE"/>
    <w:rsid w:val="00C67CFC"/>
    <w:rsid w:val="00C70ACA"/>
    <w:rsid w:val="00C71542"/>
    <w:rsid w:val="00C71F77"/>
    <w:rsid w:val="00C724FF"/>
    <w:rsid w:val="00C729F7"/>
    <w:rsid w:val="00C72C39"/>
    <w:rsid w:val="00C74EAA"/>
    <w:rsid w:val="00C76409"/>
    <w:rsid w:val="00C76F32"/>
    <w:rsid w:val="00C80198"/>
    <w:rsid w:val="00C80768"/>
    <w:rsid w:val="00C80900"/>
    <w:rsid w:val="00C80A49"/>
    <w:rsid w:val="00C8170D"/>
    <w:rsid w:val="00C818EA"/>
    <w:rsid w:val="00C81B67"/>
    <w:rsid w:val="00C8224E"/>
    <w:rsid w:val="00C825C7"/>
    <w:rsid w:val="00C82C40"/>
    <w:rsid w:val="00C82D82"/>
    <w:rsid w:val="00C82E2A"/>
    <w:rsid w:val="00C840C3"/>
    <w:rsid w:val="00C84B3B"/>
    <w:rsid w:val="00C91767"/>
    <w:rsid w:val="00C942BA"/>
    <w:rsid w:val="00C94786"/>
    <w:rsid w:val="00C97135"/>
    <w:rsid w:val="00CA1BBB"/>
    <w:rsid w:val="00CA3184"/>
    <w:rsid w:val="00CA3DD4"/>
    <w:rsid w:val="00CA3EFF"/>
    <w:rsid w:val="00CA43C8"/>
    <w:rsid w:val="00CA45F4"/>
    <w:rsid w:val="00CA4EF3"/>
    <w:rsid w:val="00CB1FB2"/>
    <w:rsid w:val="00CB1FEB"/>
    <w:rsid w:val="00CB42BA"/>
    <w:rsid w:val="00CB5046"/>
    <w:rsid w:val="00CB51CD"/>
    <w:rsid w:val="00CB5845"/>
    <w:rsid w:val="00CB6184"/>
    <w:rsid w:val="00CB71BA"/>
    <w:rsid w:val="00CC0280"/>
    <w:rsid w:val="00CC13EA"/>
    <w:rsid w:val="00CC1B0C"/>
    <w:rsid w:val="00CC2586"/>
    <w:rsid w:val="00CC29F9"/>
    <w:rsid w:val="00CC4AE5"/>
    <w:rsid w:val="00CC570E"/>
    <w:rsid w:val="00CC6C38"/>
    <w:rsid w:val="00CC6DF8"/>
    <w:rsid w:val="00CD2507"/>
    <w:rsid w:val="00CD3175"/>
    <w:rsid w:val="00CD464C"/>
    <w:rsid w:val="00CD4897"/>
    <w:rsid w:val="00CD5B89"/>
    <w:rsid w:val="00CD6117"/>
    <w:rsid w:val="00CE08AE"/>
    <w:rsid w:val="00CE08BB"/>
    <w:rsid w:val="00CE176C"/>
    <w:rsid w:val="00CE2A59"/>
    <w:rsid w:val="00CE2A5D"/>
    <w:rsid w:val="00CE5459"/>
    <w:rsid w:val="00CE5629"/>
    <w:rsid w:val="00CE589D"/>
    <w:rsid w:val="00CE5D34"/>
    <w:rsid w:val="00CE78ED"/>
    <w:rsid w:val="00CE7B79"/>
    <w:rsid w:val="00CF05B0"/>
    <w:rsid w:val="00CF20C4"/>
    <w:rsid w:val="00CF2D1F"/>
    <w:rsid w:val="00CF3163"/>
    <w:rsid w:val="00CF4020"/>
    <w:rsid w:val="00CF53A3"/>
    <w:rsid w:val="00CF5697"/>
    <w:rsid w:val="00CF6A48"/>
    <w:rsid w:val="00CF6F53"/>
    <w:rsid w:val="00CF7AA2"/>
    <w:rsid w:val="00D00AF2"/>
    <w:rsid w:val="00D013B5"/>
    <w:rsid w:val="00D01AB7"/>
    <w:rsid w:val="00D01FD4"/>
    <w:rsid w:val="00D05226"/>
    <w:rsid w:val="00D06351"/>
    <w:rsid w:val="00D068BA"/>
    <w:rsid w:val="00D06CFE"/>
    <w:rsid w:val="00D10227"/>
    <w:rsid w:val="00D1080F"/>
    <w:rsid w:val="00D10E9D"/>
    <w:rsid w:val="00D1141F"/>
    <w:rsid w:val="00D135BC"/>
    <w:rsid w:val="00D14D9E"/>
    <w:rsid w:val="00D16FF2"/>
    <w:rsid w:val="00D201A5"/>
    <w:rsid w:val="00D20DE1"/>
    <w:rsid w:val="00D226D7"/>
    <w:rsid w:val="00D22DF6"/>
    <w:rsid w:val="00D25628"/>
    <w:rsid w:val="00D25914"/>
    <w:rsid w:val="00D25D37"/>
    <w:rsid w:val="00D26133"/>
    <w:rsid w:val="00D26918"/>
    <w:rsid w:val="00D27347"/>
    <w:rsid w:val="00D3125D"/>
    <w:rsid w:val="00D32906"/>
    <w:rsid w:val="00D329EA"/>
    <w:rsid w:val="00D332C9"/>
    <w:rsid w:val="00D34558"/>
    <w:rsid w:val="00D3754E"/>
    <w:rsid w:val="00D406B0"/>
    <w:rsid w:val="00D412E9"/>
    <w:rsid w:val="00D415C0"/>
    <w:rsid w:val="00D41640"/>
    <w:rsid w:val="00D454A3"/>
    <w:rsid w:val="00D51386"/>
    <w:rsid w:val="00D51D0E"/>
    <w:rsid w:val="00D52A33"/>
    <w:rsid w:val="00D55473"/>
    <w:rsid w:val="00D55BBE"/>
    <w:rsid w:val="00D56FC2"/>
    <w:rsid w:val="00D57415"/>
    <w:rsid w:val="00D60E09"/>
    <w:rsid w:val="00D64FE4"/>
    <w:rsid w:val="00D70966"/>
    <w:rsid w:val="00D71096"/>
    <w:rsid w:val="00D72058"/>
    <w:rsid w:val="00D72EAB"/>
    <w:rsid w:val="00D7344B"/>
    <w:rsid w:val="00D7364D"/>
    <w:rsid w:val="00D775A6"/>
    <w:rsid w:val="00D77BBF"/>
    <w:rsid w:val="00D77E97"/>
    <w:rsid w:val="00D820ED"/>
    <w:rsid w:val="00D83AFA"/>
    <w:rsid w:val="00D83ED4"/>
    <w:rsid w:val="00D86334"/>
    <w:rsid w:val="00D87673"/>
    <w:rsid w:val="00D877FD"/>
    <w:rsid w:val="00D87913"/>
    <w:rsid w:val="00D90A4B"/>
    <w:rsid w:val="00D91068"/>
    <w:rsid w:val="00D91698"/>
    <w:rsid w:val="00D91B05"/>
    <w:rsid w:val="00D93FF6"/>
    <w:rsid w:val="00D941C6"/>
    <w:rsid w:val="00D94661"/>
    <w:rsid w:val="00D95937"/>
    <w:rsid w:val="00D95A28"/>
    <w:rsid w:val="00D95E43"/>
    <w:rsid w:val="00DA0A1D"/>
    <w:rsid w:val="00DA1223"/>
    <w:rsid w:val="00DA2845"/>
    <w:rsid w:val="00DA4098"/>
    <w:rsid w:val="00DA45E1"/>
    <w:rsid w:val="00DB0E84"/>
    <w:rsid w:val="00DB2160"/>
    <w:rsid w:val="00DB3109"/>
    <w:rsid w:val="00DB3F00"/>
    <w:rsid w:val="00DB4776"/>
    <w:rsid w:val="00DB6CC4"/>
    <w:rsid w:val="00DB784D"/>
    <w:rsid w:val="00DC0D3E"/>
    <w:rsid w:val="00DC3AD2"/>
    <w:rsid w:val="00DC6CA1"/>
    <w:rsid w:val="00DD01D6"/>
    <w:rsid w:val="00DD03D9"/>
    <w:rsid w:val="00DD0C75"/>
    <w:rsid w:val="00DD1D56"/>
    <w:rsid w:val="00DD1F4A"/>
    <w:rsid w:val="00DD2261"/>
    <w:rsid w:val="00DD3182"/>
    <w:rsid w:val="00DD5077"/>
    <w:rsid w:val="00DE080E"/>
    <w:rsid w:val="00DE10DE"/>
    <w:rsid w:val="00DE17D2"/>
    <w:rsid w:val="00DE17F1"/>
    <w:rsid w:val="00DE3CCF"/>
    <w:rsid w:val="00DE4B24"/>
    <w:rsid w:val="00DE5070"/>
    <w:rsid w:val="00DE62CB"/>
    <w:rsid w:val="00DF103C"/>
    <w:rsid w:val="00DF17E4"/>
    <w:rsid w:val="00DF2F0A"/>
    <w:rsid w:val="00DF3024"/>
    <w:rsid w:val="00DF430F"/>
    <w:rsid w:val="00DF519F"/>
    <w:rsid w:val="00DF645F"/>
    <w:rsid w:val="00DF755E"/>
    <w:rsid w:val="00E001D5"/>
    <w:rsid w:val="00E00FFE"/>
    <w:rsid w:val="00E01C20"/>
    <w:rsid w:val="00E022F9"/>
    <w:rsid w:val="00E02634"/>
    <w:rsid w:val="00E033F5"/>
    <w:rsid w:val="00E05889"/>
    <w:rsid w:val="00E0733D"/>
    <w:rsid w:val="00E0771D"/>
    <w:rsid w:val="00E10FA7"/>
    <w:rsid w:val="00E11216"/>
    <w:rsid w:val="00E11BAF"/>
    <w:rsid w:val="00E130BA"/>
    <w:rsid w:val="00E13ADD"/>
    <w:rsid w:val="00E13C58"/>
    <w:rsid w:val="00E1577D"/>
    <w:rsid w:val="00E16F56"/>
    <w:rsid w:val="00E17DCC"/>
    <w:rsid w:val="00E20A0A"/>
    <w:rsid w:val="00E210A6"/>
    <w:rsid w:val="00E21D0A"/>
    <w:rsid w:val="00E2617E"/>
    <w:rsid w:val="00E2635F"/>
    <w:rsid w:val="00E26D97"/>
    <w:rsid w:val="00E27121"/>
    <w:rsid w:val="00E3176D"/>
    <w:rsid w:val="00E3208A"/>
    <w:rsid w:val="00E33430"/>
    <w:rsid w:val="00E342BF"/>
    <w:rsid w:val="00E342F1"/>
    <w:rsid w:val="00E345A3"/>
    <w:rsid w:val="00E35213"/>
    <w:rsid w:val="00E36320"/>
    <w:rsid w:val="00E37245"/>
    <w:rsid w:val="00E3729F"/>
    <w:rsid w:val="00E37590"/>
    <w:rsid w:val="00E404DB"/>
    <w:rsid w:val="00E405D3"/>
    <w:rsid w:val="00E40FFF"/>
    <w:rsid w:val="00E411DB"/>
    <w:rsid w:val="00E4236B"/>
    <w:rsid w:val="00E423C1"/>
    <w:rsid w:val="00E43E17"/>
    <w:rsid w:val="00E43FBB"/>
    <w:rsid w:val="00E446B6"/>
    <w:rsid w:val="00E453A8"/>
    <w:rsid w:val="00E459E5"/>
    <w:rsid w:val="00E45E47"/>
    <w:rsid w:val="00E45EC0"/>
    <w:rsid w:val="00E463FD"/>
    <w:rsid w:val="00E46407"/>
    <w:rsid w:val="00E46C44"/>
    <w:rsid w:val="00E47339"/>
    <w:rsid w:val="00E52CDE"/>
    <w:rsid w:val="00E53EA2"/>
    <w:rsid w:val="00E578E3"/>
    <w:rsid w:val="00E612B6"/>
    <w:rsid w:val="00E61AD9"/>
    <w:rsid w:val="00E61FD9"/>
    <w:rsid w:val="00E63736"/>
    <w:rsid w:val="00E652DD"/>
    <w:rsid w:val="00E72450"/>
    <w:rsid w:val="00E7245E"/>
    <w:rsid w:val="00E73487"/>
    <w:rsid w:val="00E75FE3"/>
    <w:rsid w:val="00E77493"/>
    <w:rsid w:val="00E800C4"/>
    <w:rsid w:val="00E80C41"/>
    <w:rsid w:val="00E8353B"/>
    <w:rsid w:val="00E83542"/>
    <w:rsid w:val="00E850F9"/>
    <w:rsid w:val="00E865DB"/>
    <w:rsid w:val="00E86D23"/>
    <w:rsid w:val="00E86EF1"/>
    <w:rsid w:val="00E95512"/>
    <w:rsid w:val="00E96E80"/>
    <w:rsid w:val="00E976D3"/>
    <w:rsid w:val="00EA53CE"/>
    <w:rsid w:val="00EA5617"/>
    <w:rsid w:val="00EA5898"/>
    <w:rsid w:val="00EA58D9"/>
    <w:rsid w:val="00EA7252"/>
    <w:rsid w:val="00EA796E"/>
    <w:rsid w:val="00EB0CC7"/>
    <w:rsid w:val="00EB20F8"/>
    <w:rsid w:val="00EB2133"/>
    <w:rsid w:val="00EB3D9F"/>
    <w:rsid w:val="00EB5064"/>
    <w:rsid w:val="00EB61B8"/>
    <w:rsid w:val="00EB66E2"/>
    <w:rsid w:val="00EB6BDA"/>
    <w:rsid w:val="00EC2B21"/>
    <w:rsid w:val="00EC2FFF"/>
    <w:rsid w:val="00EC3F0F"/>
    <w:rsid w:val="00EC4C78"/>
    <w:rsid w:val="00EC565F"/>
    <w:rsid w:val="00ED00EC"/>
    <w:rsid w:val="00ED0C5A"/>
    <w:rsid w:val="00ED2CB5"/>
    <w:rsid w:val="00ED381C"/>
    <w:rsid w:val="00ED39B3"/>
    <w:rsid w:val="00ED692F"/>
    <w:rsid w:val="00ED74A2"/>
    <w:rsid w:val="00EE6FFB"/>
    <w:rsid w:val="00EF0BBA"/>
    <w:rsid w:val="00EF299E"/>
    <w:rsid w:val="00EF5279"/>
    <w:rsid w:val="00EF5947"/>
    <w:rsid w:val="00EF6A14"/>
    <w:rsid w:val="00EF718F"/>
    <w:rsid w:val="00EF7CAC"/>
    <w:rsid w:val="00F00F9A"/>
    <w:rsid w:val="00F01525"/>
    <w:rsid w:val="00F03A2A"/>
    <w:rsid w:val="00F040F7"/>
    <w:rsid w:val="00F0508B"/>
    <w:rsid w:val="00F11796"/>
    <w:rsid w:val="00F13E87"/>
    <w:rsid w:val="00F15259"/>
    <w:rsid w:val="00F155AF"/>
    <w:rsid w:val="00F15655"/>
    <w:rsid w:val="00F15A55"/>
    <w:rsid w:val="00F15B07"/>
    <w:rsid w:val="00F15B3D"/>
    <w:rsid w:val="00F16CF2"/>
    <w:rsid w:val="00F2265B"/>
    <w:rsid w:val="00F23BAC"/>
    <w:rsid w:val="00F240EF"/>
    <w:rsid w:val="00F24827"/>
    <w:rsid w:val="00F25685"/>
    <w:rsid w:val="00F30570"/>
    <w:rsid w:val="00F31924"/>
    <w:rsid w:val="00F32AC3"/>
    <w:rsid w:val="00F33588"/>
    <w:rsid w:val="00F345AC"/>
    <w:rsid w:val="00F412F6"/>
    <w:rsid w:val="00F414BA"/>
    <w:rsid w:val="00F414C0"/>
    <w:rsid w:val="00F4296F"/>
    <w:rsid w:val="00F43688"/>
    <w:rsid w:val="00F43AF3"/>
    <w:rsid w:val="00F4473B"/>
    <w:rsid w:val="00F4526E"/>
    <w:rsid w:val="00F47263"/>
    <w:rsid w:val="00F50C00"/>
    <w:rsid w:val="00F51B93"/>
    <w:rsid w:val="00F5230F"/>
    <w:rsid w:val="00F557C8"/>
    <w:rsid w:val="00F62014"/>
    <w:rsid w:val="00F624AA"/>
    <w:rsid w:val="00F62FF4"/>
    <w:rsid w:val="00F634B5"/>
    <w:rsid w:val="00F66165"/>
    <w:rsid w:val="00F705EF"/>
    <w:rsid w:val="00F70D7C"/>
    <w:rsid w:val="00F7142E"/>
    <w:rsid w:val="00F73ECB"/>
    <w:rsid w:val="00F75DDC"/>
    <w:rsid w:val="00F765C5"/>
    <w:rsid w:val="00F769DA"/>
    <w:rsid w:val="00F81238"/>
    <w:rsid w:val="00F8145F"/>
    <w:rsid w:val="00F837EF"/>
    <w:rsid w:val="00F83D01"/>
    <w:rsid w:val="00F84723"/>
    <w:rsid w:val="00F8498E"/>
    <w:rsid w:val="00F85121"/>
    <w:rsid w:val="00F865A0"/>
    <w:rsid w:val="00F92412"/>
    <w:rsid w:val="00F94A81"/>
    <w:rsid w:val="00F94E8E"/>
    <w:rsid w:val="00F972E8"/>
    <w:rsid w:val="00F97ECB"/>
    <w:rsid w:val="00FA0CF0"/>
    <w:rsid w:val="00FA17B5"/>
    <w:rsid w:val="00FA4884"/>
    <w:rsid w:val="00FA5219"/>
    <w:rsid w:val="00FA5253"/>
    <w:rsid w:val="00FA79DE"/>
    <w:rsid w:val="00FB1A4F"/>
    <w:rsid w:val="00FB2BAB"/>
    <w:rsid w:val="00FB4273"/>
    <w:rsid w:val="00FB454B"/>
    <w:rsid w:val="00FB555A"/>
    <w:rsid w:val="00FB6381"/>
    <w:rsid w:val="00FC3920"/>
    <w:rsid w:val="00FC3A2D"/>
    <w:rsid w:val="00FC563C"/>
    <w:rsid w:val="00FC6068"/>
    <w:rsid w:val="00FD04EB"/>
    <w:rsid w:val="00FD0938"/>
    <w:rsid w:val="00FD0F56"/>
    <w:rsid w:val="00FD203A"/>
    <w:rsid w:val="00FD23AB"/>
    <w:rsid w:val="00FE1A9A"/>
    <w:rsid w:val="00FE1FFC"/>
    <w:rsid w:val="00FE20AE"/>
    <w:rsid w:val="00FE20E8"/>
    <w:rsid w:val="00FE3456"/>
    <w:rsid w:val="00FE3ACE"/>
    <w:rsid w:val="00FE6195"/>
    <w:rsid w:val="00FF1790"/>
    <w:rsid w:val="00FF42C4"/>
    <w:rsid w:val="00FF46C3"/>
    <w:rsid w:val="01B50676"/>
    <w:rsid w:val="023961B7"/>
    <w:rsid w:val="02715DC8"/>
    <w:rsid w:val="02D30D0F"/>
    <w:rsid w:val="03155BBA"/>
    <w:rsid w:val="03637BAB"/>
    <w:rsid w:val="037A5976"/>
    <w:rsid w:val="055A0111"/>
    <w:rsid w:val="068A38E2"/>
    <w:rsid w:val="068E5516"/>
    <w:rsid w:val="06CE1DB6"/>
    <w:rsid w:val="072D157A"/>
    <w:rsid w:val="076A4D81"/>
    <w:rsid w:val="07CF1F10"/>
    <w:rsid w:val="07DD5429"/>
    <w:rsid w:val="08D07D80"/>
    <w:rsid w:val="08F967C4"/>
    <w:rsid w:val="09120680"/>
    <w:rsid w:val="09356AEF"/>
    <w:rsid w:val="094810A0"/>
    <w:rsid w:val="099E0001"/>
    <w:rsid w:val="0A624EAE"/>
    <w:rsid w:val="0BB426E8"/>
    <w:rsid w:val="0BBC150C"/>
    <w:rsid w:val="0BBD654B"/>
    <w:rsid w:val="0BDE6F3F"/>
    <w:rsid w:val="0C20714E"/>
    <w:rsid w:val="0C791135"/>
    <w:rsid w:val="0D8E764B"/>
    <w:rsid w:val="0D8F2C60"/>
    <w:rsid w:val="0DA80DC1"/>
    <w:rsid w:val="0DDE5878"/>
    <w:rsid w:val="0DE272C2"/>
    <w:rsid w:val="0DF83BAD"/>
    <w:rsid w:val="0F0616F6"/>
    <w:rsid w:val="0F231205"/>
    <w:rsid w:val="0FB654ED"/>
    <w:rsid w:val="10C64F4C"/>
    <w:rsid w:val="11215B65"/>
    <w:rsid w:val="112A7CBD"/>
    <w:rsid w:val="1154735C"/>
    <w:rsid w:val="11DB6C41"/>
    <w:rsid w:val="121A3D69"/>
    <w:rsid w:val="12CE7BF2"/>
    <w:rsid w:val="139D2146"/>
    <w:rsid w:val="13AD37E6"/>
    <w:rsid w:val="143635EC"/>
    <w:rsid w:val="14A34810"/>
    <w:rsid w:val="14BF0A4B"/>
    <w:rsid w:val="14C43686"/>
    <w:rsid w:val="159C7453"/>
    <w:rsid w:val="16A10B91"/>
    <w:rsid w:val="16A7377F"/>
    <w:rsid w:val="16F8165D"/>
    <w:rsid w:val="17366FEF"/>
    <w:rsid w:val="173F4216"/>
    <w:rsid w:val="17A52E61"/>
    <w:rsid w:val="17EF096C"/>
    <w:rsid w:val="18205A53"/>
    <w:rsid w:val="18751294"/>
    <w:rsid w:val="18930C2E"/>
    <w:rsid w:val="18A84FE1"/>
    <w:rsid w:val="19FA0C26"/>
    <w:rsid w:val="1A53099B"/>
    <w:rsid w:val="1A7840BB"/>
    <w:rsid w:val="1A852918"/>
    <w:rsid w:val="1A8962D2"/>
    <w:rsid w:val="1A9C4D90"/>
    <w:rsid w:val="1B526113"/>
    <w:rsid w:val="1B654F1D"/>
    <w:rsid w:val="1B6A1E53"/>
    <w:rsid w:val="1CE06714"/>
    <w:rsid w:val="1D24428B"/>
    <w:rsid w:val="1D4F530C"/>
    <w:rsid w:val="1D7E5CD8"/>
    <w:rsid w:val="1DA04409"/>
    <w:rsid w:val="1DA13929"/>
    <w:rsid w:val="1E9731B1"/>
    <w:rsid w:val="1F2F4F63"/>
    <w:rsid w:val="1FE02A01"/>
    <w:rsid w:val="20146634"/>
    <w:rsid w:val="201C6D6B"/>
    <w:rsid w:val="202032CD"/>
    <w:rsid w:val="20A0495E"/>
    <w:rsid w:val="20B518D4"/>
    <w:rsid w:val="20B52C36"/>
    <w:rsid w:val="20DC66A5"/>
    <w:rsid w:val="22670134"/>
    <w:rsid w:val="22863271"/>
    <w:rsid w:val="233F6EDE"/>
    <w:rsid w:val="242B3BB1"/>
    <w:rsid w:val="2469328B"/>
    <w:rsid w:val="24732AF5"/>
    <w:rsid w:val="24917CB5"/>
    <w:rsid w:val="24BB4178"/>
    <w:rsid w:val="25094F3A"/>
    <w:rsid w:val="25B17EA4"/>
    <w:rsid w:val="26225596"/>
    <w:rsid w:val="26574C62"/>
    <w:rsid w:val="267E1F1E"/>
    <w:rsid w:val="268C786C"/>
    <w:rsid w:val="2709037E"/>
    <w:rsid w:val="27102C28"/>
    <w:rsid w:val="287322AA"/>
    <w:rsid w:val="28BE1CE0"/>
    <w:rsid w:val="28E43189"/>
    <w:rsid w:val="29F51B9E"/>
    <w:rsid w:val="2A5A5F2F"/>
    <w:rsid w:val="2AB63AD4"/>
    <w:rsid w:val="2AC42599"/>
    <w:rsid w:val="2BA11D0F"/>
    <w:rsid w:val="2BFE5950"/>
    <w:rsid w:val="2C5B530C"/>
    <w:rsid w:val="2C843DC7"/>
    <w:rsid w:val="2D3C6388"/>
    <w:rsid w:val="2D761821"/>
    <w:rsid w:val="2DD43C45"/>
    <w:rsid w:val="2DE51610"/>
    <w:rsid w:val="2E08357C"/>
    <w:rsid w:val="2E416E54"/>
    <w:rsid w:val="2E504177"/>
    <w:rsid w:val="30285B0E"/>
    <w:rsid w:val="3067202D"/>
    <w:rsid w:val="313841F5"/>
    <w:rsid w:val="320016F9"/>
    <w:rsid w:val="32096215"/>
    <w:rsid w:val="325D09B0"/>
    <w:rsid w:val="32C97DB6"/>
    <w:rsid w:val="32DA553F"/>
    <w:rsid w:val="335254A8"/>
    <w:rsid w:val="34292CE5"/>
    <w:rsid w:val="343061B8"/>
    <w:rsid w:val="34B3576A"/>
    <w:rsid w:val="34B37D06"/>
    <w:rsid w:val="35CB352E"/>
    <w:rsid w:val="360637D0"/>
    <w:rsid w:val="36354353"/>
    <w:rsid w:val="3696131E"/>
    <w:rsid w:val="36C561D1"/>
    <w:rsid w:val="37912EB1"/>
    <w:rsid w:val="37D5281F"/>
    <w:rsid w:val="37DE4DFA"/>
    <w:rsid w:val="380E52AE"/>
    <w:rsid w:val="3830457E"/>
    <w:rsid w:val="38922234"/>
    <w:rsid w:val="38CB7473"/>
    <w:rsid w:val="392C4C81"/>
    <w:rsid w:val="392F71ED"/>
    <w:rsid w:val="399F2CDF"/>
    <w:rsid w:val="39BF18AF"/>
    <w:rsid w:val="3A250C66"/>
    <w:rsid w:val="3A363870"/>
    <w:rsid w:val="3A40523A"/>
    <w:rsid w:val="3A4C45A9"/>
    <w:rsid w:val="3A751CC9"/>
    <w:rsid w:val="3AA914BC"/>
    <w:rsid w:val="3AC21055"/>
    <w:rsid w:val="3B562952"/>
    <w:rsid w:val="3B7F140B"/>
    <w:rsid w:val="3B860DE9"/>
    <w:rsid w:val="3C0260B1"/>
    <w:rsid w:val="3C3A6FCB"/>
    <w:rsid w:val="3C714BA3"/>
    <w:rsid w:val="3C902971"/>
    <w:rsid w:val="3CBB2D87"/>
    <w:rsid w:val="3CD15CC2"/>
    <w:rsid w:val="3D547516"/>
    <w:rsid w:val="3DFA18F5"/>
    <w:rsid w:val="3DFB158F"/>
    <w:rsid w:val="3E0351AF"/>
    <w:rsid w:val="3E9F580B"/>
    <w:rsid w:val="3EB90605"/>
    <w:rsid w:val="3F021D35"/>
    <w:rsid w:val="3FCB3400"/>
    <w:rsid w:val="403316CD"/>
    <w:rsid w:val="41A3372E"/>
    <w:rsid w:val="420162F8"/>
    <w:rsid w:val="42543471"/>
    <w:rsid w:val="42646023"/>
    <w:rsid w:val="42652477"/>
    <w:rsid w:val="432B3848"/>
    <w:rsid w:val="4345383E"/>
    <w:rsid w:val="4357712A"/>
    <w:rsid w:val="44A1361B"/>
    <w:rsid w:val="44BB1D45"/>
    <w:rsid w:val="45396F7E"/>
    <w:rsid w:val="45423CE6"/>
    <w:rsid w:val="45446F69"/>
    <w:rsid w:val="45DE25F5"/>
    <w:rsid w:val="46AC31BB"/>
    <w:rsid w:val="46E25166"/>
    <w:rsid w:val="46F74436"/>
    <w:rsid w:val="475F3D89"/>
    <w:rsid w:val="4875318B"/>
    <w:rsid w:val="48854E51"/>
    <w:rsid w:val="49486832"/>
    <w:rsid w:val="495D230C"/>
    <w:rsid w:val="49837CFD"/>
    <w:rsid w:val="4A032155"/>
    <w:rsid w:val="4A494E3F"/>
    <w:rsid w:val="4A515838"/>
    <w:rsid w:val="4B722013"/>
    <w:rsid w:val="4B8D6CB9"/>
    <w:rsid w:val="4BDA395C"/>
    <w:rsid w:val="4C00451E"/>
    <w:rsid w:val="4C981072"/>
    <w:rsid w:val="4D001402"/>
    <w:rsid w:val="4D694F6D"/>
    <w:rsid w:val="4D78357A"/>
    <w:rsid w:val="4D7F2427"/>
    <w:rsid w:val="4DB875DF"/>
    <w:rsid w:val="4E233D34"/>
    <w:rsid w:val="4EAC01FC"/>
    <w:rsid w:val="4F5D22B1"/>
    <w:rsid w:val="4FD90C63"/>
    <w:rsid w:val="4FEB60BB"/>
    <w:rsid w:val="503C455E"/>
    <w:rsid w:val="512A365A"/>
    <w:rsid w:val="51CB5E46"/>
    <w:rsid w:val="52114682"/>
    <w:rsid w:val="528655BD"/>
    <w:rsid w:val="52C93FCA"/>
    <w:rsid w:val="53476745"/>
    <w:rsid w:val="53AB286F"/>
    <w:rsid w:val="53D71E36"/>
    <w:rsid w:val="53FE3D4D"/>
    <w:rsid w:val="542B1059"/>
    <w:rsid w:val="5469097F"/>
    <w:rsid w:val="54883742"/>
    <w:rsid w:val="55CB4D7D"/>
    <w:rsid w:val="565F1643"/>
    <w:rsid w:val="56CD2D92"/>
    <w:rsid w:val="56F838F5"/>
    <w:rsid w:val="57070EA0"/>
    <w:rsid w:val="57383B83"/>
    <w:rsid w:val="57525A8B"/>
    <w:rsid w:val="57727B08"/>
    <w:rsid w:val="57DB2953"/>
    <w:rsid w:val="57FA6EBC"/>
    <w:rsid w:val="59143EDA"/>
    <w:rsid w:val="59224924"/>
    <w:rsid w:val="59857916"/>
    <w:rsid w:val="5A5022EC"/>
    <w:rsid w:val="5AB34A85"/>
    <w:rsid w:val="5B174620"/>
    <w:rsid w:val="5B9954D7"/>
    <w:rsid w:val="5BA06D3D"/>
    <w:rsid w:val="5C614EC4"/>
    <w:rsid w:val="5E860470"/>
    <w:rsid w:val="5EA76113"/>
    <w:rsid w:val="5EFD7FB6"/>
    <w:rsid w:val="5F2B50FC"/>
    <w:rsid w:val="5F424080"/>
    <w:rsid w:val="5FA121C6"/>
    <w:rsid w:val="5FE25BBA"/>
    <w:rsid w:val="5FE94934"/>
    <w:rsid w:val="6015504B"/>
    <w:rsid w:val="60242D63"/>
    <w:rsid w:val="606A09DC"/>
    <w:rsid w:val="609F1D79"/>
    <w:rsid w:val="60B7759A"/>
    <w:rsid w:val="60F26C0E"/>
    <w:rsid w:val="60FD68BB"/>
    <w:rsid w:val="611C5BAF"/>
    <w:rsid w:val="612A4F20"/>
    <w:rsid w:val="61821BF5"/>
    <w:rsid w:val="61F001EB"/>
    <w:rsid w:val="629D7C06"/>
    <w:rsid w:val="62AC28BE"/>
    <w:rsid w:val="63326228"/>
    <w:rsid w:val="63A5793C"/>
    <w:rsid w:val="63D26489"/>
    <w:rsid w:val="63FF0D1D"/>
    <w:rsid w:val="643A600D"/>
    <w:rsid w:val="64AB4A58"/>
    <w:rsid w:val="65293EFC"/>
    <w:rsid w:val="656445B6"/>
    <w:rsid w:val="66230B8D"/>
    <w:rsid w:val="662D480C"/>
    <w:rsid w:val="66515D9E"/>
    <w:rsid w:val="6656014A"/>
    <w:rsid w:val="66B940A0"/>
    <w:rsid w:val="66FF79E0"/>
    <w:rsid w:val="67BB0B7E"/>
    <w:rsid w:val="68107B03"/>
    <w:rsid w:val="685A4399"/>
    <w:rsid w:val="69387A59"/>
    <w:rsid w:val="695A0B28"/>
    <w:rsid w:val="6AA5462C"/>
    <w:rsid w:val="6ABB53B3"/>
    <w:rsid w:val="6AC83126"/>
    <w:rsid w:val="6AF80F39"/>
    <w:rsid w:val="6B4456FA"/>
    <w:rsid w:val="6BB075EB"/>
    <w:rsid w:val="6BFE7A08"/>
    <w:rsid w:val="6C7B5880"/>
    <w:rsid w:val="6CD07C14"/>
    <w:rsid w:val="6D4B2364"/>
    <w:rsid w:val="6D7051F6"/>
    <w:rsid w:val="6D7E46BA"/>
    <w:rsid w:val="6DA4229B"/>
    <w:rsid w:val="6E6E2A3F"/>
    <w:rsid w:val="6EA82F2D"/>
    <w:rsid w:val="6FC72909"/>
    <w:rsid w:val="6FFC473D"/>
    <w:rsid w:val="70F63A15"/>
    <w:rsid w:val="71D13AED"/>
    <w:rsid w:val="72443F58"/>
    <w:rsid w:val="72A74016"/>
    <w:rsid w:val="72DB610A"/>
    <w:rsid w:val="72F55B2D"/>
    <w:rsid w:val="72F778B4"/>
    <w:rsid w:val="731A5F75"/>
    <w:rsid w:val="739A7D73"/>
    <w:rsid w:val="73D64B29"/>
    <w:rsid w:val="7452103C"/>
    <w:rsid w:val="751002ED"/>
    <w:rsid w:val="75204B38"/>
    <w:rsid w:val="75452D96"/>
    <w:rsid w:val="754D24B2"/>
    <w:rsid w:val="759B487F"/>
    <w:rsid w:val="75B71B91"/>
    <w:rsid w:val="75C03905"/>
    <w:rsid w:val="7612407A"/>
    <w:rsid w:val="763E73FD"/>
    <w:rsid w:val="76462152"/>
    <w:rsid w:val="764A164B"/>
    <w:rsid w:val="76672AEE"/>
    <w:rsid w:val="7668742A"/>
    <w:rsid w:val="766B7D30"/>
    <w:rsid w:val="76871335"/>
    <w:rsid w:val="76A13828"/>
    <w:rsid w:val="76AC7DE4"/>
    <w:rsid w:val="76CA5B8A"/>
    <w:rsid w:val="773C39DF"/>
    <w:rsid w:val="779E2A01"/>
    <w:rsid w:val="77F209E4"/>
    <w:rsid w:val="78086F57"/>
    <w:rsid w:val="784D3BE2"/>
    <w:rsid w:val="78F76C86"/>
    <w:rsid w:val="7A1E4845"/>
    <w:rsid w:val="7AC564A2"/>
    <w:rsid w:val="7B4E4739"/>
    <w:rsid w:val="7B532117"/>
    <w:rsid w:val="7C2A6F46"/>
    <w:rsid w:val="7CB73B5A"/>
    <w:rsid w:val="7CC304BC"/>
    <w:rsid w:val="7CDB52E3"/>
    <w:rsid w:val="7D0E79B6"/>
    <w:rsid w:val="7D192385"/>
    <w:rsid w:val="7D6B3BF3"/>
    <w:rsid w:val="7D6D73C7"/>
    <w:rsid w:val="7DAD323E"/>
    <w:rsid w:val="7DE54612"/>
    <w:rsid w:val="7DFC09F9"/>
    <w:rsid w:val="7E8B3A4D"/>
    <w:rsid w:val="7EFF1C3A"/>
    <w:rsid w:val="7F17306D"/>
    <w:rsid w:val="7F2D0EBA"/>
    <w:rsid w:val="7F30679E"/>
    <w:rsid w:val="7F716993"/>
    <w:rsid w:val="7F7618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jc w:val="both"/>
    </w:pPr>
    <w:rPr>
      <w:rFonts w:ascii="宋体" w:hAnsi="Times New Roman" w:eastAsia="宋体" w:cs="Times New Roman"/>
      <w:sz w:val="21"/>
      <w:lang w:val="en-US" w:eastAsia="zh-CN" w:bidi="ar-SA"/>
    </w:rPr>
  </w:style>
  <w:style w:type="paragraph" w:styleId="3">
    <w:name w:val="annotation text"/>
    <w:basedOn w:val="1"/>
    <w:link w:val="24"/>
    <w:semiHidden/>
    <w:unhideWhenUsed/>
    <w:qFormat/>
    <w:uiPriority w:val="99"/>
    <w:pPr>
      <w:jc w:val="left"/>
    </w:pPr>
  </w:style>
  <w:style w:type="paragraph" w:styleId="4">
    <w:name w:val="Body Text"/>
    <w:basedOn w:val="1"/>
    <w:next w:val="1"/>
    <w:qFormat/>
    <w:uiPriority w:val="99"/>
    <w:pPr>
      <w:spacing w:after="120"/>
    </w:pPr>
    <w:rPr>
      <w:kern w:val="0"/>
      <w:sz w:val="24"/>
      <w:szCs w:val="24"/>
    </w:rPr>
  </w:style>
  <w:style w:type="paragraph" w:styleId="5">
    <w:name w:val="Date"/>
    <w:basedOn w:val="1"/>
    <w:next w:val="1"/>
    <w:link w:val="28"/>
    <w:semiHidden/>
    <w:unhideWhenUsed/>
    <w:qFormat/>
    <w:uiPriority w:val="99"/>
    <w:pPr>
      <w:ind w:left="100" w:leftChars="2500"/>
    </w:pPr>
  </w:style>
  <w:style w:type="paragraph" w:styleId="6">
    <w:name w:val="Balloon Text"/>
    <w:basedOn w:val="1"/>
    <w:link w:val="23"/>
    <w:semiHidden/>
    <w:unhideWhenUsed/>
    <w:qFormat/>
    <w:uiPriority w:val="99"/>
    <w:rPr>
      <w:sz w:val="18"/>
      <w:szCs w:val="18"/>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rPr>
      <w:rFonts w:ascii="Times New Roman" w:hAnsi="Times New Roman" w:eastAsia="宋体" w:cs="Times New Roman"/>
      <w:szCs w:val="20"/>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1">
    <w:name w:val="annotation subject"/>
    <w:basedOn w:val="3"/>
    <w:next w:val="3"/>
    <w:link w:val="25"/>
    <w:semiHidden/>
    <w:unhideWhenUsed/>
    <w:qFormat/>
    <w:uiPriority w:val="99"/>
    <w:rPr>
      <w:b/>
      <w:bCs/>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unhideWhenUsed/>
    <w:qFormat/>
    <w:uiPriority w:val="99"/>
    <w:rPr>
      <w:color w:val="0000FF" w:themeColor="hyperlink"/>
      <w:u w:val="single"/>
    </w:rPr>
  </w:style>
  <w:style w:type="character" w:styleId="16">
    <w:name w:val="annotation reference"/>
    <w:basedOn w:val="14"/>
    <w:semiHidden/>
    <w:unhideWhenUsed/>
    <w:qFormat/>
    <w:uiPriority w:val="99"/>
    <w:rPr>
      <w:sz w:val="21"/>
      <w:szCs w:val="21"/>
    </w:rPr>
  </w:style>
  <w:style w:type="character" w:customStyle="1" w:styleId="17">
    <w:name w:val="页眉 Char"/>
    <w:basedOn w:val="14"/>
    <w:link w:val="8"/>
    <w:qFormat/>
    <w:uiPriority w:val="99"/>
    <w:rPr>
      <w:sz w:val="18"/>
      <w:szCs w:val="18"/>
    </w:rPr>
  </w:style>
  <w:style w:type="character" w:customStyle="1" w:styleId="18">
    <w:name w:val="页脚 Char"/>
    <w:basedOn w:val="14"/>
    <w:link w:val="7"/>
    <w:qFormat/>
    <w:uiPriority w:val="99"/>
    <w:rPr>
      <w:sz w:val="18"/>
      <w:szCs w:val="18"/>
    </w:rPr>
  </w:style>
  <w:style w:type="paragraph" w:styleId="19">
    <w:name w:val="List Paragraph"/>
    <w:basedOn w:val="1"/>
    <w:qFormat/>
    <w:uiPriority w:val="34"/>
    <w:pPr>
      <w:ind w:firstLine="420" w:firstLineChars="200"/>
    </w:pPr>
  </w:style>
  <w:style w:type="paragraph" w:customStyle="1" w:styleId="20">
    <w:name w:val="样式5"/>
    <w:basedOn w:val="1"/>
    <w:qFormat/>
    <w:uiPriority w:val="0"/>
    <w:rPr>
      <w:rFonts w:ascii="宋体" w:hAnsi="Times New Roman" w:eastAsia="宋体" w:cs="宋体"/>
      <w:sz w:val="24"/>
      <w:szCs w:val="24"/>
    </w:rPr>
  </w:style>
  <w:style w:type="paragraph" w:customStyle="1" w:styleId="21">
    <w:name w:val="p0"/>
    <w:basedOn w:val="1"/>
    <w:qFormat/>
    <w:uiPriority w:val="0"/>
    <w:pPr>
      <w:widowControl/>
    </w:pPr>
    <w:rPr>
      <w:kern w:val="0"/>
      <w:szCs w:val="21"/>
    </w:rPr>
  </w:style>
  <w:style w:type="paragraph" w:customStyle="1" w:styleId="22">
    <w:name w:val="_Style 7"/>
    <w:basedOn w:val="1"/>
    <w:next w:val="19"/>
    <w:qFormat/>
    <w:uiPriority w:val="0"/>
    <w:pPr>
      <w:ind w:firstLine="420" w:firstLineChars="200"/>
    </w:pPr>
    <w:rPr>
      <w:rFonts w:ascii="Times New Roman" w:hAnsi="Times New Roman" w:eastAsia="宋体" w:cs="Times New Roman"/>
    </w:rPr>
  </w:style>
  <w:style w:type="character" w:customStyle="1" w:styleId="23">
    <w:name w:val="批注框文本 Char"/>
    <w:basedOn w:val="14"/>
    <w:link w:val="6"/>
    <w:semiHidden/>
    <w:qFormat/>
    <w:uiPriority w:val="99"/>
    <w:rPr>
      <w:rFonts w:asciiTheme="minorHAnsi" w:hAnsiTheme="minorHAnsi" w:eastAsiaTheme="minorEastAsia" w:cstheme="minorBidi"/>
      <w:kern w:val="2"/>
      <w:sz w:val="18"/>
      <w:szCs w:val="18"/>
    </w:rPr>
  </w:style>
  <w:style w:type="character" w:customStyle="1" w:styleId="24">
    <w:name w:val="批注文字 Char"/>
    <w:basedOn w:val="14"/>
    <w:link w:val="3"/>
    <w:semiHidden/>
    <w:qFormat/>
    <w:uiPriority w:val="99"/>
    <w:rPr>
      <w:rFonts w:asciiTheme="minorHAnsi" w:hAnsiTheme="minorHAnsi" w:eastAsiaTheme="minorEastAsia" w:cstheme="minorBidi"/>
      <w:kern w:val="2"/>
      <w:sz w:val="21"/>
      <w:szCs w:val="22"/>
    </w:rPr>
  </w:style>
  <w:style w:type="character" w:customStyle="1" w:styleId="25">
    <w:name w:val="批注主题 Char"/>
    <w:basedOn w:val="24"/>
    <w:link w:val="11"/>
    <w:semiHidden/>
    <w:qFormat/>
    <w:uiPriority w:val="99"/>
    <w:rPr>
      <w:rFonts w:asciiTheme="minorHAnsi" w:hAnsiTheme="minorHAnsi" w:eastAsiaTheme="minorEastAsia" w:cstheme="minorBidi"/>
      <w:b/>
      <w:bCs/>
      <w:kern w:val="2"/>
      <w:sz w:val="21"/>
      <w:szCs w:val="22"/>
    </w:rPr>
  </w:style>
  <w:style w:type="paragraph" w:customStyle="1" w:styleId="26">
    <w:name w:val="Table Paragraph"/>
    <w:basedOn w:val="1"/>
    <w:qFormat/>
    <w:uiPriority w:val="1"/>
    <w:pPr>
      <w:autoSpaceDE w:val="0"/>
      <w:autoSpaceDN w:val="0"/>
      <w:adjustRightInd w:val="0"/>
      <w:jc w:val="left"/>
    </w:pPr>
    <w:rPr>
      <w:rFonts w:ascii="Times New Roman" w:hAnsi="Times New Roman" w:eastAsia="宋体" w:cs="Times New Roman"/>
      <w:kern w:val="0"/>
      <w:sz w:val="24"/>
      <w:szCs w:val="24"/>
    </w:rPr>
  </w:style>
  <w:style w:type="paragraph" w:customStyle="1" w:styleId="27">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28">
    <w:name w:val="日期 Char"/>
    <w:basedOn w:val="14"/>
    <w:link w:val="5"/>
    <w:semiHidden/>
    <w:qFormat/>
    <w:uiPriority w:val="99"/>
    <w:rPr>
      <w:rFonts w:asciiTheme="minorHAnsi" w:hAnsiTheme="minorHAnsi" w:eastAsiaTheme="minorEastAsia"/>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B2684-9B35-41A9-8C7D-910BE847B2E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31</Pages>
  <Words>15349</Words>
  <Characters>16055</Characters>
  <Lines>127</Lines>
  <Paragraphs>35</Paragraphs>
  <TotalTime>13</TotalTime>
  <ScaleCrop>false</ScaleCrop>
  <LinksUpToDate>false</LinksUpToDate>
  <CharactersWithSpaces>16232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2024-07-31T09:12:00Z</dcterms:created>
  <dc:creator>微软用户</dc:creator>
  <cp:lastModifiedBy>白白</cp:lastModifiedBy>
  <cp:lastPrinted>2024-07-31T09:09:00Z</cp:lastPrinted>
  <dcterms:modified xsi:type="dcterms:W3CDTF">2025-08-26T02:14:15Z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DA33AEA07CAE4D39938A0DBA4C7EFD65</vt:lpwstr>
  </property>
  <property fmtid="{D5CDD505-2E9C-101B-9397-08002B2CF9AE}" pid="4" name="KSOTemplateDocerSaveRecord">
    <vt:lpwstr>eyJoZGlkIjoiYWE3YzIyMWEzYjY4NTYyZTRjMTI1Mzg4ZTFmYWE3MjEiLCJ1c2VySWQiOiIzMTIxNDU0OTQifQ==</vt:lpwstr>
  </property>
</Properties>
</file>