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740C3">
      <w:pPr>
        <w:pStyle w:val="2"/>
        <w:spacing w:line="268" w:lineRule="auto"/>
        <w:rPr>
          <w:color w:val="auto"/>
          <w:highlight w:val="none"/>
        </w:rPr>
      </w:pPr>
    </w:p>
    <w:p w14:paraId="6A0E04A1">
      <w:pPr>
        <w:pStyle w:val="2"/>
        <w:spacing w:line="268" w:lineRule="auto"/>
        <w:rPr>
          <w:color w:val="auto"/>
          <w:highlight w:val="none"/>
        </w:rPr>
      </w:pPr>
    </w:p>
    <w:p w14:paraId="61848324">
      <w:pPr>
        <w:pStyle w:val="2"/>
        <w:spacing w:line="269" w:lineRule="auto"/>
        <w:rPr>
          <w:color w:val="auto"/>
          <w:highlight w:val="none"/>
        </w:rPr>
      </w:pPr>
    </w:p>
    <w:p w14:paraId="3B95175F">
      <w:pPr>
        <w:pStyle w:val="2"/>
        <w:spacing w:line="269" w:lineRule="auto"/>
        <w:rPr>
          <w:color w:val="auto"/>
          <w:highlight w:val="none"/>
        </w:rPr>
      </w:pPr>
    </w:p>
    <w:p w14:paraId="0E523983">
      <w:pPr>
        <w:spacing w:before="130" w:line="229" w:lineRule="auto"/>
        <w:ind w:right="298"/>
        <w:jc w:val="center"/>
        <w:outlineLvl w:val="0"/>
        <w:rPr>
          <w:rFonts w:hint="eastAsia" w:ascii="宋体" w:hAnsi="宋体" w:eastAsia="宋体" w:cs="宋体"/>
          <w:color w:val="auto"/>
          <w:sz w:val="36"/>
          <w:szCs w:val="36"/>
          <w:highlight w:val="none"/>
          <w:lang w:eastAsia="zh-CN"/>
        </w:rPr>
      </w:pPr>
      <w:r>
        <w:rPr>
          <w:rFonts w:hint="eastAsia" w:ascii="宋体" w:hAnsi="宋体" w:eastAsia="宋体" w:cs="宋体"/>
          <w:b/>
          <w:bCs/>
          <w:color w:val="auto"/>
          <w:spacing w:val="34"/>
          <w:sz w:val="36"/>
          <w:szCs w:val="36"/>
          <w:highlight w:val="none"/>
          <w:lang w:eastAsia="zh-CN"/>
        </w:rPr>
        <w:t>启东市自来水厂有限公司消防栓2025-2026年度采购项目</w:t>
      </w:r>
    </w:p>
    <w:p w14:paraId="70A611EA">
      <w:pPr>
        <w:pStyle w:val="2"/>
        <w:spacing w:line="251" w:lineRule="auto"/>
        <w:rPr>
          <w:color w:val="auto"/>
          <w:highlight w:val="none"/>
        </w:rPr>
      </w:pPr>
    </w:p>
    <w:p w14:paraId="6E96803B">
      <w:pPr>
        <w:pStyle w:val="2"/>
        <w:spacing w:line="252" w:lineRule="auto"/>
        <w:rPr>
          <w:color w:val="auto"/>
          <w:highlight w:val="none"/>
        </w:rPr>
      </w:pPr>
    </w:p>
    <w:p w14:paraId="4CB3C923">
      <w:pPr>
        <w:pStyle w:val="2"/>
        <w:spacing w:line="252" w:lineRule="auto"/>
        <w:rPr>
          <w:color w:val="auto"/>
          <w:highlight w:val="none"/>
        </w:rPr>
      </w:pPr>
    </w:p>
    <w:p w14:paraId="4DCC049C">
      <w:pPr>
        <w:pStyle w:val="2"/>
        <w:spacing w:line="252" w:lineRule="auto"/>
        <w:rPr>
          <w:color w:val="auto"/>
          <w:highlight w:val="none"/>
        </w:rPr>
      </w:pPr>
    </w:p>
    <w:p w14:paraId="035D79B1">
      <w:pPr>
        <w:pStyle w:val="2"/>
        <w:spacing w:line="252" w:lineRule="auto"/>
        <w:rPr>
          <w:color w:val="auto"/>
          <w:highlight w:val="none"/>
        </w:rPr>
      </w:pPr>
    </w:p>
    <w:p w14:paraId="6279E659">
      <w:pPr>
        <w:pStyle w:val="2"/>
        <w:spacing w:line="252" w:lineRule="auto"/>
        <w:rPr>
          <w:color w:val="auto"/>
          <w:highlight w:val="none"/>
        </w:rPr>
      </w:pPr>
    </w:p>
    <w:p w14:paraId="4643E041">
      <w:pPr>
        <w:spacing w:before="325" w:line="218" w:lineRule="auto"/>
        <w:ind w:left="1630"/>
        <w:outlineLvl w:val="0"/>
        <w:rPr>
          <w:rFonts w:ascii="宋体" w:hAnsi="宋体" w:eastAsia="宋体" w:cs="宋体"/>
          <w:color w:val="auto"/>
          <w:sz w:val="100"/>
          <w:szCs w:val="100"/>
          <w:highlight w:val="none"/>
        </w:rPr>
      </w:pPr>
      <w:r>
        <w:rPr>
          <w:rFonts w:ascii="宋体" w:hAnsi="宋体" w:eastAsia="宋体" w:cs="宋体"/>
          <w:b/>
          <w:bCs/>
          <w:color w:val="auto"/>
          <w:spacing w:val="-13"/>
          <w:sz w:val="100"/>
          <w:szCs w:val="100"/>
          <w:highlight w:val="none"/>
        </w:rPr>
        <w:t>采购询价文件</w:t>
      </w:r>
    </w:p>
    <w:p w14:paraId="4674975C">
      <w:pPr>
        <w:pStyle w:val="2"/>
        <w:spacing w:line="247" w:lineRule="auto"/>
        <w:rPr>
          <w:color w:val="auto"/>
          <w:highlight w:val="none"/>
        </w:rPr>
      </w:pPr>
    </w:p>
    <w:p w14:paraId="049C9DC1">
      <w:pPr>
        <w:pStyle w:val="2"/>
        <w:spacing w:line="247" w:lineRule="auto"/>
        <w:rPr>
          <w:color w:val="auto"/>
          <w:highlight w:val="none"/>
        </w:rPr>
      </w:pPr>
    </w:p>
    <w:p w14:paraId="0A7F6D56">
      <w:pPr>
        <w:pStyle w:val="2"/>
        <w:spacing w:line="247" w:lineRule="auto"/>
        <w:rPr>
          <w:color w:val="auto"/>
          <w:highlight w:val="none"/>
        </w:rPr>
      </w:pPr>
    </w:p>
    <w:p w14:paraId="2B5AC289">
      <w:pPr>
        <w:pStyle w:val="2"/>
        <w:spacing w:line="247" w:lineRule="auto"/>
        <w:rPr>
          <w:color w:val="auto"/>
          <w:highlight w:val="none"/>
        </w:rPr>
      </w:pPr>
    </w:p>
    <w:p w14:paraId="1F2877EA">
      <w:pPr>
        <w:pStyle w:val="2"/>
        <w:spacing w:line="247" w:lineRule="auto"/>
        <w:rPr>
          <w:color w:val="auto"/>
          <w:highlight w:val="none"/>
        </w:rPr>
      </w:pPr>
    </w:p>
    <w:p w14:paraId="363BD38C">
      <w:pPr>
        <w:pStyle w:val="2"/>
        <w:spacing w:line="247" w:lineRule="auto"/>
        <w:rPr>
          <w:color w:val="auto"/>
          <w:highlight w:val="none"/>
        </w:rPr>
      </w:pPr>
    </w:p>
    <w:p w14:paraId="2CAC3FA0">
      <w:pPr>
        <w:pStyle w:val="2"/>
        <w:spacing w:line="247" w:lineRule="auto"/>
        <w:rPr>
          <w:color w:val="auto"/>
          <w:highlight w:val="none"/>
        </w:rPr>
      </w:pPr>
    </w:p>
    <w:p w14:paraId="27FBC5DA">
      <w:pPr>
        <w:pStyle w:val="2"/>
        <w:spacing w:line="247" w:lineRule="auto"/>
        <w:rPr>
          <w:color w:val="auto"/>
          <w:highlight w:val="none"/>
        </w:rPr>
      </w:pPr>
    </w:p>
    <w:p w14:paraId="226FEA0E">
      <w:pPr>
        <w:pStyle w:val="2"/>
        <w:spacing w:line="247" w:lineRule="auto"/>
        <w:rPr>
          <w:color w:val="auto"/>
          <w:highlight w:val="none"/>
        </w:rPr>
      </w:pPr>
    </w:p>
    <w:p w14:paraId="4863A6E9">
      <w:pPr>
        <w:pStyle w:val="2"/>
        <w:spacing w:line="247" w:lineRule="auto"/>
        <w:rPr>
          <w:color w:val="auto"/>
          <w:highlight w:val="none"/>
        </w:rPr>
      </w:pPr>
    </w:p>
    <w:p w14:paraId="4B2E5C8E">
      <w:pPr>
        <w:pStyle w:val="2"/>
        <w:spacing w:line="247" w:lineRule="auto"/>
        <w:rPr>
          <w:color w:val="auto"/>
          <w:highlight w:val="none"/>
        </w:rPr>
      </w:pPr>
    </w:p>
    <w:p w14:paraId="248DC6A4">
      <w:pPr>
        <w:pStyle w:val="2"/>
        <w:spacing w:line="247" w:lineRule="auto"/>
        <w:rPr>
          <w:color w:val="auto"/>
          <w:highlight w:val="none"/>
        </w:rPr>
      </w:pPr>
    </w:p>
    <w:p w14:paraId="722B61B6">
      <w:pPr>
        <w:pStyle w:val="2"/>
        <w:spacing w:line="247" w:lineRule="auto"/>
        <w:rPr>
          <w:color w:val="auto"/>
          <w:highlight w:val="none"/>
        </w:rPr>
      </w:pPr>
    </w:p>
    <w:p w14:paraId="53AEA1A0">
      <w:pPr>
        <w:pStyle w:val="2"/>
        <w:spacing w:line="247" w:lineRule="auto"/>
        <w:rPr>
          <w:color w:val="auto"/>
          <w:highlight w:val="none"/>
        </w:rPr>
      </w:pPr>
    </w:p>
    <w:p w14:paraId="6FD57FBF">
      <w:pPr>
        <w:pStyle w:val="2"/>
        <w:spacing w:line="247" w:lineRule="auto"/>
        <w:rPr>
          <w:color w:val="auto"/>
          <w:highlight w:val="none"/>
        </w:rPr>
      </w:pPr>
    </w:p>
    <w:p w14:paraId="19006B9E">
      <w:pPr>
        <w:pStyle w:val="2"/>
        <w:spacing w:line="247" w:lineRule="auto"/>
        <w:rPr>
          <w:color w:val="auto"/>
          <w:highlight w:val="none"/>
        </w:rPr>
      </w:pPr>
    </w:p>
    <w:p w14:paraId="2DD2E5A9">
      <w:pPr>
        <w:pStyle w:val="2"/>
        <w:spacing w:line="247" w:lineRule="auto"/>
        <w:rPr>
          <w:color w:val="auto"/>
          <w:highlight w:val="none"/>
        </w:rPr>
      </w:pPr>
    </w:p>
    <w:p w14:paraId="1C018FC5">
      <w:pPr>
        <w:pStyle w:val="2"/>
        <w:spacing w:line="247" w:lineRule="auto"/>
        <w:rPr>
          <w:color w:val="auto"/>
          <w:highlight w:val="none"/>
        </w:rPr>
      </w:pPr>
    </w:p>
    <w:p w14:paraId="093BBEE1">
      <w:pPr>
        <w:pStyle w:val="2"/>
        <w:spacing w:line="248" w:lineRule="auto"/>
        <w:rPr>
          <w:color w:val="auto"/>
          <w:highlight w:val="none"/>
        </w:rPr>
      </w:pPr>
    </w:p>
    <w:p w14:paraId="7FF2597D">
      <w:pPr>
        <w:pStyle w:val="2"/>
        <w:spacing w:line="248" w:lineRule="auto"/>
        <w:rPr>
          <w:color w:val="auto"/>
          <w:highlight w:val="none"/>
        </w:rPr>
      </w:pPr>
    </w:p>
    <w:p w14:paraId="38F8BDCE">
      <w:pPr>
        <w:spacing w:before="139" w:line="223" w:lineRule="auto"/>
        <w:jc w:val="center"/>
        <w:outlineLvl w:val="1"/>
        <w:rPr>
          <w:rFonts w:hint="eastAsia" w:ascii="宋体" w:hAnsi="宋体" w:eastAsia="宋体" w:cs="宋体"/>
          <w:color w:val="auto"/>
          <w:sz w:val="43"/>
          <w:szCs w:val="43"/>
          <w:highlight w:val="none"/>
          <w:lang w:eastAsia="zh-CN"/>
        </w:rPr>
      </w:pPr>
      <w:r>
        <w:rPr>
          <w:rFonts w:hint="eastAsia" w:ascii="宋体" w:hAnsi="宋体" w:eastAsia="宋体" w:cs="宋体"/>
          <w:b/>
          <w:bCs/>
          <w:color w:val="auto"/>
          <w:spacing w:val="42"/>
          <w:sz w:val="43"/>
          <w:szCs w:val="43"/>
          <w:highlight w:val="none"/>
          <w:lang w:eastAsia="zh-CN"/>
        </w:rPr>
        <w:t>启东市自来水厂有限公司</w:t>
      </w:r>
    </w:p>
    <w:p w14:paraId="2986F355">
      <w:pPr>
        <w:tabs>
          <w:tab w:val="left" w:pos="3196"/>
        </w:tabs>
        <w:spacing w:before="202" w:line="225" w:lineRule="auto"/>
        <w:ind w:left="2858"/>
        <w:rPr>
          <w:rFonts w:ascii="宋体" w:hAnsi="宋体" w:eastAsia="宋体" w:cs="宋体"/>
          <w:color w:val="auto"/>
          <w:sz w:val="31"/>
          <w:szCs w:val="31"/>
          <w:highlight w:val="none"/>
        </w:rPr>
      </w:pPr>
      <w:r>
        <w:rPr>
          <w:rFonts w:ascii="宋体" w:hAnsi="宋体" w:eastAsia="宋体" w:cs="宋体"/>
          <w:color w:val="auto"/>
          <w:sz w:val="31"/>
          <w:szCs w:val="31"/>
          <w:highlight w:val="none"/>
          <w:u w:val="single" w:color="auto"/>
        </w:rPr>
        <w:tab/>
      </w:r>
      <w:r>
        <w:rPr>
          <w:rFonts w:ascii="宋体" w:hAnsi="宋体" w:eastAsia="宋体" w:cs="宋体"/>
          <w:b/>
          <w:bCs/>
          <w:color w:val="auto"/>
          <w:spacing w:val="-4"/>
          <w:sz w:val="31"/>
          <w:szCs w:val="31"/>
          <w:highlight w:val="none"/>
          <w:u w:val="single" w:color="auto"/>
        </w:rPr>
        <w:t>202</w:t>
      </w:r>
      <w:r>
        <w:rPr>
          <w:rFonts w:hint="eastAsia" w:ascii="宋体" w:hAnsi="宋体" w:eastAsia="宋体" w:cs="宋体"/>
          <w:b/>
          <w:bCs/>
          <w:color w:val="auto"/>
          <w:spacing w:val="-4"/>
          <w:sz w:val="31"/>
          <w:szCs w:val="31"/>
          <w:highlight w:val="none"/>
          <w:u w:val="single" w:color="auto"/>
          <w:lang w:val="en-US" w:eastAsia="zh-CN"/>
        </w:rPr>
        <w:t>5</w:t>
      </w:r>
      <w:r>
        <w:rPr>
          <w:rFonts w:ascii="宋体" w:hAnsi="宋体" w:eastAsia="宋体" w:cs="宋体"/>
          <w:color w:val="auto"/>
          <w:spacing w:val="-4"/>
          <w:sz w:val="31"/>
          <w:szCs w:val="31"/>
          <w:highlight w:val="none"/>
          <w:u w:val="single" w:color="auto"/>
        </w:rPr>
        <w:t xml:space="preserve">  </w:t>
      </w:r>
      <w:r>
        <w:rPr>
          <w:rFonts w:ascii="宋体" w:hAnsi="宋体" w:eastAsia="宋体" w:cs="宋体"/>
          <w:color w:val="auto"/>
          <w:spacing w:val="-134"/>
          <w:sz w:val="31"/>
          <w:szCs w:val="31"/>
          <w:highlight w:val="none"/>
        </w:rPr>
        <w:t xml:space="preserve"> </w:t>
      </w:r>
      <w:r>
        <w:rPr>
          <w:rFonts w:ascii="宋体" w:hAnsi="宋体" w:eastAsia="宋体" w:cs="宋体"/>
          <w:b/>
          <w:bCs/>
          <w:color w:val="auto"/>
          <w:spacing w:val="-4"/>
          <w:sz w:val="31"/>
          <w:szCs w:val="31"/>
          <w:highlight w:val="none"/>
        </w:rPr>
        <w:t>年</w:t>
      </w:r>
      <w:r>
        <w:rPr>
          <w:rFonts w:hint="eastAsia" w:ascii="宋体" w:hAnsi="宋体" w:cs="宋体"/>
          <w:b/>
          <w:bCs/>
          <w:color w:val="auto"/>
          <w:sz w:val="32"/>
          <w:highlight w:val="none"/>
          <w:u w:val="single"/>
          <w:lang w:val="en-US" w:eastAsia="zh-CN"/>
        </w:rPr>
        <w:t xml:space="preserve">  4   </w:t>
      </w:r>
      <w:r>
        <w:rPr>
          <w:rFonts w:hint="eastAsia" w:ascii="宋体" w:hAnsi="宋体" w:cs="宋体"/>
          <w:b/>
          <w:bCs/>
          <w:color w:val="auto"/>
          <w:sz w:val="32"/>
          <w:highlight w:val="none"/>
        </w:rPr>
        <w:t>月</w:t>
      </w:r>
      <w:r>
        <w:rPr>
          <w:rFonts w:hint="eastAsia" w:ascii="宋体" w:hAnsi="宋体" w:cs="宋体"/>
          <w:b/>
          <w:bCs/>
          <w:color w:val="auto"/>
          <w:sz w:val="32"/>
          <w:highlight w:val="none"/>
          <w:u w:val="single"/>
          <w:lang w:val="en-US" w:eastAsia="zh-CN"/>
        </w:rPr>
        <w:t xml:space="preserve">  21  </w:t>
      </w:r>
      <w:r>
        <w:rPr>
          <w:rFonts w:hint="eastAsia" w:ascii="宋体" w:hAnsi="宋体" w:cs="宋体"/>
          <w:b/>
          <w:bCs/>
          <w:color w:val="auto"/>
          <w:sz w:val="32"/>
          <w:highlight w:val="none"/>
        </w:rPr>
        <w:t>日</w:t>
      </w:r>
    </w:p>
    <w:p w14:paraId="77595302">
      <w:pPr>
        <w:pStyle w:val="2"/>
        <w:spacing w:line="293" w:lineRule="auto"/>
        <w:rPr>
          <w:color w:val="auto"/>
          <w:highlight w:val="none"/>
        </w:rPr>
      </w:pPr>
    </w:p>
    <w:p w14:paraId="0FDE5C1A">
      <w:pPr>
        <w:pStyle w:val="2"/>
        <w:spacing w:line="293" w:lineRule="auto"/>
        <w:rPr>
          <w:color w:val="auto"/>
          <w:highlight w:val="none"/>
        </w:rPr>
      </w:pPr>
    </w:p>
    <w:p w14:paraId="1B9CDF29">
      <w:pPr>
        <w:pStyle w:val="2"/>
        <w:spacing w:line="294" w:lineRule="auto"/>
        <w:rPr>
          <w:color w:val="auto"/>
          <w:highlight w:val="none"/>
        </w:rPr>
      </w:pPr>
    </w:p>
    <w:p w14:paraId="1A648D49">
      <w:pPr>
        <w:pStyle w:val="2"/>
        <w:spacing w:line="294" w:lineRule="auto"/>
        <w:rPr>
          <w:color w:val="auto"/>
          <w:highlight w:val="none"/>
        </w:rPr>
      </w:pPr>
      <w:r>
        <w:rPr>
          <w:color w:val="auto"/>
          <w:highlight w:val="none"/>
        </w:rPr>
        <w:pict>
          <v:shape id="_x0000_s1026" o:spid="_x0000_s1026" style="position:absolute;left:0pt;margin-left:0pt;margin-top:14.35pt;height:0.65pt;width:453.1pt;z-index:251660288;mso-width-relative:page;mso-height-relative:page;" fillcolor="#000000" filled="t" stroked="f" coordsize="9062,12" path="m0,12l9061,12,9061,0,0,0,0,12xe">
            <v:path/>
            <v:fill on="t" focussize="0,0"/>
            <v:stroke on="f"/>
            <v:imagedata o:title=""/>
            <o:lock v:ext="edit"/>
          </v:shape>
        </w:pict>
      </w:r>
    </w:p>
    <w:p w14:paraId="23C93416">
      <w:pPr>
        <w:spacing w:before="102" w:line="225" w:lineRule="auto"/>
        <w:ind w:left="1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地址:</w:t>
      </w:r>
      <w:r>
        <w:rPr>
          <w:rFonts w:hint="eastAsia" w:ascii="宋体" w:hAnsi="宋体" w:eastAsia="宋体" w:cs="宋体"/>
          <w:b/>
          <w:bCs/>
          <w:color w:val="auto"/>
          <w:spacing w:val="6"/>
          <w:sz w:val="31"/>
          <w:szCs w:val="31"/>
          <w:highlight w:val="none"/>
        </w:rPr>
        <w:t>启东市汇龙镇金沙江路672号</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5"/>
          <w:sz w:val="31"/>
          <w:szCs w:val="31"/>
          <w:highlight w:val="none"/>
        </w:rPr>
        <w:t>邮政编码：226200</w:t>
      </w:r>
    </w:p>
    <w:p w14:paraId="24D84B37">
      <w:pPr>
        <w:spacing w:before="38" w:line="224" w:lineRule="auto"/>
        <w:ind w:left="37"/>
        <w:rPr>
          <w:rFonts w:hint="default" w:ascii="宋体" w:hAnsi="宋体" w:eastAsia="宋体" w:cs="宋体"/>
          <w:color w:val="auto"/>
          <w:sz w:val="31"/>
          <w:szCs w:val="31"/>
          <w:highlight w:val="none"/>
          <w:lang w:val="en-US"/>
        </w:rPr>
        <w:sectPr>
          <w:footerReference r:id="rId5" w:type="default"/>
          <w:pgSz w:w="11907" w:h="16839"/>
          <w:pgMar w:top="1431" w:right="1416" w:bottom="1153" w:left="1428" w:header="0" w:footer="988" w:gutter="0"/>
          <w:pgNumType w:fmt="decimal"/>
          <w:cols w:space="720" w:num="1"/>
        </w:sectPr>
      </w:pPr>
      <w:r>
        <w:rPr>
          <w:rFonts w:ascii="宋体" w:hAnsi="宋体" w:eastAsia="宋体" w:cs="宋体"/>
          <w:b/>
          <w:bCs/>
          <w:color w:val="auto"/>
          <w:spacing w:val="4"/>
          <w:sz w:val="31"/>
          <w:szCs w:val="31"/>
          <w:highlight w:val="none"/>
        </w:rPr>
        <w:t>网址：</w:t>
      </w:r>
      <w:r>
        <w:rPr>
          <w:rFonts w:hint="eastAsia" w:ascii="宋体" w:hAnsi="宋体" w:eastAsia="宋体" w:cs="宋体"/>
          <w:b/>
          <w:bCs/>
          <w:color w:val="auto"/>
          <w:spacing w:val="4"/>
          <w:sz w:val="31"/>
          <w:szCs w:val="31"/>
          <w:highlight w:val="none"/>
          <w:lang w:val="en-US" w:eastAsia="zh-CN"/>
        </w:rPr>
        <w:t>启东市自来水厂有限公司</w:t>
      </w:r>
    </w:p>
    <w:p w14:paraId="13D7B7CE">
      <w:pPr>
        <w:spacing w:before="86" w:line="226" w:lineRule="auto"/>
        <w:ind w:left="3898"/>
        <w:rPr>
          <w:rFonts w:ascii="宋体" w:hAnsi="宋体" w:eastAsia="宋体" w:cs="宋体"/>
          <w:color w:val="auto"/>
          <w:sz w:val="43"/>
          <w:szCs w:val="43"/>
          <w:highlight w:val="none"/>
        </w:rPr>
      </w:pPr>
      <w:r>
        <w:rPr>
          <w:rFonts w:ascii="宋体" w:hAnsi="宋体" w:eastAsia="宋体" w:cs="宋体"/>
          <w:color w:val="auto"/>
          <w:spacing w:val="-18"/>
          <w:sz w:val="43"/>
          <w:szCs w:val="43"/>
          <w:highlight w:val="none"/>
        </w:rPr>
        <w:t>目</w:t>
      </w:r>
      <w:r>
        <w:rPr>
          <w:rFonts w:hint="eastAsia" w:ascii="宋体" w:hAnsi="宋体" w:eastAsia="宋体" w:cs="宋体"/>
          <w:color w:val="auto"/>
          <w:spacing w:val="-18"/>
          <w:sz w:val="43"/>
          <w:szCs w:val="43"/>
          <w:highlight w:val="none"/>
          <w:lang w:val="en-US" w:eastAsia="zh-CN"/>
        </w:rPr>
        <w:t xml:space="preserve">  </w:t>
      </w:r>
      <w:r>
        <w:rPr>
          <w:rFonts w:ascii="宋体" w:hAnsi="宋体" w:eastAsia="宋体" w:cs="宋体"/>
          <w:color w:val="auto"/>
          <w:spacing w:val="-18"/>
          <w:sz w:val="43"/>
          <w:szCs w:val="43"/>
          <w:highlight w:val="none"/>
        </w:rPr>
        <w:t>录</w:t>
      </w:r>
    </w:p>
    <w:p w14:paraId="64B89123">
      <w:pPr>
        <w:spacing w:before="12"/>
        <w:rPr>
          <w:color w:val="auto"/>
          <w:highlight w:val="none"/>
        </w:rPr>
      </w:pPr>
    </w:p>
    <w:p w14:paraId="3D084662">
      <w:pPr>
        <w:spacing w:before="12"/>
        <w:rPr>
          <w:color w:val="auto"/>
          <w:highlight w:val="none"/>
        </w:rPr>
      </w:pPr>
    </w:p>
    <w:p w14:paraId="2758D4B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第一部分  </w:t>
      </w:r>
      <w:r>
        <w:rPr>
          <w:rFonts w:hint="eastAsia" w:eastAsia="宋体"/>
          <w:color w:val="auto"/>
          <w:sz w:val="32"/>
          <w:szCs w:val="32"/>
          <w:highlight w:val="none"/>
          <w:lang w:val="en-US" w:eastAsia="zh-CN"/>
        </w:rPr>
        <w:t xml:space="preserve"> </w:t>
      </w:r>
      <w:r>
        <w:rPr>
          <w:rFonts w:hint="eastAsia"/>
          <w:color w:val="auto"/>
          <w:sz w:val="32"/>
          <w:szCs w:val="32"/>
          <w:highlight w:val="none"/>
        </w:rPr>
        <w:t>询价采购公告</w:t>
      </w:r>
    </w:p>
    <w:p w14:paraId="3A1C41E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第二部分  </w:t>
      </w:r>
      <w:r>
        <w:rPr>
          <w:rFonts w:hint="eastAsia" w:eastAsia="宋体"/>
          <w:color w:val="auto"/>
          <w:sz w:val="32"/>
          <w:szCs w:val="32"/>
          <w:highlight w:val="none"/>
          <w:lang w:val="en-US" w:eastAsia="zh-CN"/>
        </w:rPr>
        <w:t xml:space="preserve"> </w:t>
      </w:r>
      <w:r>
        <w:rPr>
          <w:rFonts w:hint="eastAsia"/>
          <w:color w:val="auto"/>
          <w:sz w:val="32"/>
          <w:szCs w:val="32"/>
          <w:highlight w:val="none"/>
        </w:rPr>
        <w:t>响应须知</w:t>
      </w:r>
    </w:p>
    <w:p w14:paraId="793A5A4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第三部分  </w:t>
      </w:r>
      <w:r>
        <w:rPr>
          <w:rFonts w:hint="eastAsia" w:eastAsia="宋体"/>
          <w:color w:val="auto"/>
          <w:sz w:val="32"/>
          <w:szCs w:val="32"/>
          <w:highlight w:val="none"/>
          <w:lang w:val="en-US" w:eastAsia="zh-CN"/>
        </w:rPr>
        <w:t xml:space="preserve"> </w:t>
      </w:r>
      <w:r>
        <w:rPr>
          <w:rFonts w:hint="eastAsia"/>
          <w:color w:val="auto"/>
          <w:sz w:val="32"/>
          <w:szCs w:val="32"/>
          <w:highlight w:val="none"/>
        </w:rPr>
        <w:t>项目需求</w:t>
      </w:r>
    </w:p>
    <w:p w14:paraId="6B18FDC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color w:val="auto"/>
          <w:sz w:val="32"/>
          <w:szCs w:val="32"/>
          <w:highlight w:val="none"/>
        </w:rPr>
      </w:pPr>
      <w:r>
        <w:rPr>
          <w:rFonts w:hint="eastAsia"/>
          <w:color w:val="auto"/>
          <w:sz w:val="32"/>
          <w:szCs w:val="32"/>
          <w:highlight w:val="none"/>
        </w:rPr>
        <w:t xml:space="preserve">第四部分  </w:t>
      </w:r>
      <w:r>
        <w:rPr>
          <w:rFonts w:hint="eastAsia" w:eastAsia="宋体"/>
          <w:color w:val="auto"/>
          <w:sz w:val="32"/>
          <w:szCs w:val="32"/>
          <w:highlight w:val="none"/>
          <w:lang w:val="en-US" w:eastAsia="zh-CN"/>
        </w:rPr>
        <w:t xml:space="preserve"> </w:t>
      </w:r>
      <w:r>
        <w:rPr>
          <w:rFonts w:hint="eastAsia"/>
          <w:color w:val="auto"/>
          <w:sz w:val="32"/>
          <w:szCs w:val="32"/>
          <w:highlight w:val="none"/>
        </w:rPr>
        <w:t>响应文件格式</w:t>
      </w:r>
    </w:p>
    <w:p w14:paraId="7701E6CF">
      <w:pPr>
        <w:spacing w:before="11"/>
        <w:rPr>
          <w:color w:val="auto"/>
          <w:highlight w:val="none"/>
        </w:rPr>
      </w:pPr>
    </w:p>
    <w:p w14:paraId="4A9A058F">
      <w:pPr>
        <w:pStyle w:val="2"/>
        <w:rPr>
          <w:color w:val="auto"/>
          <w:highlight w:val="none"/>
        </w:rPr>
      </w:pPr>
    </w:p>
    <w:p w14:paraId="68E445C7">
      <w:pPr>
        <w:rPr>
          <w:color w:val="auto"/>
          <w:highlight w:val="none"/>
        </w:rPr>
        <w:sectPr>
          <w:footerReference r:id="rId6" w:type="default"/>
          <w:pgSz w:w="11907" w:h="16839"/>
          <w:pgMar w:top="1419" w:right="1785" w:bottom="1154" w:left="1785" w:header="0" w:footer="988" w:gutter="0"/>
          <w:pgNumType w:fmt="decimal"/>
          <w:cols w:space="720" w:num="1"/>
        </w:sectPr>
      </w:pPr>
    </w:p>
    <w:p w14:paraId="0E362E1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0"/>
          <w:position w:val="0"/>
          <w:sz w:val="36"/>
          <w:szCs w:val="36"/>
          <w:highlight w:val="none"/>
        </w:rPr>
      </w:pPr>
      <w:r>
        <w:rPr>
          <w:rFonts w:hint="eastAsia" w:ascii="宋体" w:hAnsi="宋体" w:eastAsia="宋体" w:cs="宋体"/>
          <w:color w:val="auto"/>
          <w:spacing w:val="0"/>
          <w:position w:val="0"/>
          <w:sz w:val="36"/>
          <w:szCs w:val="36"/>
          <w:highlight w:val="none"/>
        </w:rPr>
        <w:t>第一部分  询价采购公告</w:t>
      </w:r>
    </w:p>
    <w:p w14:paraId="37164B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受</w:t>
      </w:r>
      <w:r>
        <w:rPr>
          <w:rFonts w:hint="eastAsia" w:ascii="宋体" w:hAnsi="宋体" w:eastAsia="宋体" w:cs="宋体"/>
          <w:color w:val="auto"/>
          <w:spacing w:val="0"/>
          <w:position w:val="0"/>
          <w:sz w:val="28"/>
          <w:szCs w:val="28"/>
          <w:highlight w:val="none"/>
          <w:lang w:eastAsia="zh-CN"/>
        </w:rPr>
        <w:t>启东市自来水厂有限公司</w:t>
      </w:r>
      <w:r>
        <w:rPr>
          <w:rFonts w:hint="eastAsia" w:ascii="宋体" w:hAnsi="宋体" w:eastAsia="宋体" w:cs="宋体"/>
          <w:color w:val="auto"/>
          <w:spacing w:val="0"/>
          <w:position w:val="0"/>
          <w:sz w:val="28"/>
          <w:szCs w:val="28"/>
          <w:highlight w:val="none"/>
        </w:rPr>
        <w:t>的委托，就</w:t>
      </w:r>
      <w:r>
        <w:rPr>
          <w:rFonts w:hint="eastAsia" w:ascii="宋体" w:hAnsi="宋体" w:eastAsia="宋体" w:cs="宋体"/>
          <w:color w:val="auto"/>
          <w:spacing w:val="0"/>
          <w:position w:val="0"/>
          <w:sz w:val="28"/>
          <w:szCs w:val="28"/>
          <w:highlight w:val="none"/>
          <w:lang w:eastAsia="zh-CN"/>
        </w:rPr>
        <w:t>启东市自来水厂有限公司消防栓2025-2026年度采购项目</w:t>
      </w:r>
      <w:r>
        <w:rPr>
          <w:rFonts w:hint="eastAsia" w:ascii="宋体" w:hAnsi="宋体" w:eastAsia="宋体" w:cs="宋体"/>
          <w:color w:val="auto"/>
          <w:spacing w:val="0"/>
          <w:position w:val="0"/>
          <w:sz w:val="28"/>
          <w:szCs w:val="28"/>
          <w:highlight w:val="none"/>
        </w:rPr>
        <w:t>进行询价采购，欢迎符合条件的供应商响应。</w:t>
      </w:r>
    </w:p>
    <w:tbl>
      <w:tblPr>
        <w:tblStyle w:val="10"/>
        <w:tblW w:w="93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0"/>
      </w:tblGrid>
      <w:tr w14:paraId="24D6B2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8" w:hRule="atLeast"/>
        </w:trPr>
        <w:tc>
          <w:tcPr>
            <w:tcW w:w="9320" w:type="dxa"/>
            <w:vAlign w:val="top"/>
          </w:tcPr>
          <w:p w14:paraId="20DD9A33">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项目概况</w:t>
            </w:r>
          </w:p>
          <w:p w14:paraId="09A5C043">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cs="宋体"/>
                <w:color w:val="auto"/>
                <w:spacing w:val="0"/>
                <w:position w:val="0"/>
                <w:sz w:val="28"/>
                <w:szCs w:val="28"/>
                <w:highlight w:val="none"/>
                <w:lang w:eastAsia="zh-CN"/>
              </w:rPr>
              <w:t>启东市自来水厂有限公司消防栓2025-2026年度采购项目</w:t>
            </w:r>
            <w:r>
              <w:rPr>
                <w:rFonts w:hint="eastAsia" w:ascii="宋体" w:hAnsi="宋体" w:eastAsia="宋体" w:cs="宋体"/>
                <w:color w:val="auto"/>
                <w:spacing w:val="0"/>
                <w:position w:val="0"/>
                <w:sz w:val="28"/>
                <w:szCs w:val="28"/>
                <w:highlight w:val="none"/>
              </w:rPr>
              <w:t>的潜在响应供应商应在</w:t>
            </w:r>
            <w:r>
              <w:rPr>
                <w:rFonts w:hint="eastAsia" w:ascii="宋体" w:hAnsi="宋体" w:eastAsia="宋体" w:cs="宋体"/>
                <w:color w:val="auto"/>
                <w:sz w:val="28"/>
                <w:szCs w:val="28"/>
                <w:highlight w:val="none"/>
                <w:lang w:val="en-US" w:eastAsia="zh-CN"/>
              </w:rPr>
              <w:t>“启东市自来水厂有限公司”网站</w:t>
            </w:r>
            <w:r>
              <w:rPr>
                <w:rFonts w:hint="eastAsia" w:ascii="宋体" w:hAnsi="宋体" w:eastAsia="宋体" w:cs="宋体"/>
                <w:color w:val="auto"/>
                <w:spacing w:val="0"/>
                <w:position w:val="0"/>
                <w:sz w:val="28"/>
                <w:szCs w:val="28"/>
                <w:highlight w:val="none"/>
              </w:rPr>
              <w:t>获取采购文件，并于202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Theme="minorEastAsia" w:hAnsiTheme="minorEastAsia" w:eastAsiaTheme="minorEastAsia"/>
                <w:color w:val="auto"/>
                <w:sz w:val="28"/>
                <w:szCs w:val="28"/>
                <w:highlight w:val="none"/>
                <w:lang w:val="en-US" w:eastAsia="zh-CN"/>
              </w:rPr>
              <w:t>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25</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14</w:t>
            </w:r>
            <w:r>
              <w:rPr>
                <w:rFonts w:hint="eastAsia" w:ascii="宋体" w:hAnsi="宋体" w:eastAsia="宋体" w:cs="宋体"/>
                <w:color w:val="auto"/>
                <w:spacing w:val="0"/>
                <w:position w:val="0"/>
                <w:sz w:val="28"/>
                <w:szCs w:val="28"/>
                <w:highlight w:val="none"/>
              </w:rPr>
              <w:t>点</w:t>
            </w:r>
            <w:r>
              <w:rPr>
                <w:rFonts w:hint="eastAsia" w:cs="宋体"/>
                <w:color w:val="auto"/>
                <w:spacing w:val="0"/>
                <w:position w:val="0"/>
                <w:sz w:val="28"/>
                <w:szCs w:val="28"/>
                <w:highlight w:val="none"/>
                <w:lang w:val="en-US" w:eastAsia="zh-CN"/>
              </w:rPr>
              <w:t>3</w:t>
            </w:r>
            <w:r>
              <w:rPr>
                <w:rFonts w:hint="eastAsia" w:ascii="宋体" w:hAnsi="宋体" w:eastAsia="宋体" w:cs="宋体"/>
                <w:color w:val="auto"/>
                <w:spacing w:val="0"/>
                <w:position w:val="0"/>
                <w:sz w:val="28"/>
                <w:szCs w:val="28"/>
                <w:highlight w:val="none"/>
              </w:rPr>
              <w:t>0分（北京时间）前递交响应文件。</w:t>
            </w:r>
          </w:p>
        </w:tc>
      </w:tr>
    </w:tbl>
    <w:p w14:paraId="0EDE2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b/>
          <w:bCs/>
          <w:color w:val="auto"/>
          <w:spacing w:val="0"/>
          <w:position w:val="0"/>
          <w:sz w:val="28"/>
          <w:szCs w:val="28"/>
          <w:highlight w:val="none"/>
        </w:rPr>
      </w:pPr>
    </w:p>
    <w:p w14:paraId="0E0262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一、项目基本情况</w:t>
      </w:r>
    </w:p>
    <w:p w14:paraId="238855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项目名称：</w:t>
      </w:r>
      <w:r>
        <w:rPr>
          <w:rFonts w:hint="eastAsia" w:ascii="宋体" w:hAnsi="宋体" w:eastAsia="宋体" w:cs="宋体"/>
          <w:color w:val="auto"/>
          <w:spacing w:val="0"/>
          <w:position w:val="0"/>
          <w:sz w:val="28"/>
          <w:szCs w:val="28"/>
          <w:highlight w:val="none"/>
          <w:lang w:eastAsia="zh-CN"/>
        </w:rPr>
        <w:t>启东市自来水厂有限公司消防栓2025-2026年度采购项目</w:t>
      </w:r>
    </w:p>
    <w:p w14:paraId="04F7C3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项目类型：货物</w:t>
      </w:r>
    </w:p>
    <w:p w14:paraId="65B1DC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所属行业：工业</w:t>
      </w:r>
    </w:p>
    <w:p w14:paraId="39C28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预算金额</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rPr>
        <w:t>：440000</w:t>
      </w:r>
      <w:r>
        <w:rPr>
          <w:rFonts w:hint="eastAsia" w:ascii="宋体" w:hAnsi="宋体" w:eastAsia="宋体" w:cs="宋体"/>
          <w:color w:val="auto"/>
          <w:spacing w:val="0"/>
          <w:position w:val="0"/>
          <w:sz w:val="28"/>
          <w:szCs w:val="28"/>
          <w:highlight w:val="none"/>
          <w:lang w:eastAsia="zh-CN"/>
        </w:rPr>
        <w:t>元</w:t>
      </w:r>
    </w:p>
    <w:p w14:paraId="3487D4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最高限价（</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cs="宋体"/>
          <w:color w:val="auto"/>
          <w:sz w:val="28"/>
          <w:szCs w:val="28"/>
          <w:highlight w:val="none"/>
          <w:lang w:val="en-US" w:eastAsia="zh-CN"/>
        </w:rPr>
        <w:t>总价最高限价为440000</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val="en-US" w:eastAsia="zh-CN"/>
        </w:rPr>
        <w:t>，分项综合单价限价</w:t>
      </w:r>
      <w:r>
        <w:rPr>
          <w:rFonts w:hint="eastAsia" w:ascii="宋体" w:hAnsi="宋体" w:cs="宋体"/>
          <w:color w:val="auto"/>
          <w:sz w:val="28"/>
          <w:szCs w:val="28"/>
          <w:highlight w:val="none"/>
          <w:lang w:val="en-US" w:eastAsia="zh-CN"/>
        </w:rPr>
        <w:t>详见采购货物清单，</w:t>
      </w:r>
      <w:r>
        <w:rPr>
          <w:rFonts w:hint="eastAsia" w:ascii="宋体" w:hAnsi="宋体" w:eastAsia="宋体" w:cs="宋体"/>
          <w:color w:val="auto"/>
          <w:sz w:val="28"/>
          <w:szCs w:val="28"/>
          <w:highlight w:val="none"/>
          <w:lang w:val="en-US" w:eastAsia="zh-CN"/>
        </w:rPr>
        <w:t>投标报价大于总价最高限价或分项综合单价限价的均为无效报价。</w:t>
      </w:r>
    </w:p>
    <w:p w14:paraId="651FC7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采购需求：详见采购文件，请仔细研究</w:t>
      </w:r>
      <w:r>
        <w:rPr>
          <w:rFonts w:hint="eastAsia" w:ascii="宋体" w:hAnsi="宋体" w:eastAsia="宋体" w:cs="宋体"/>
          <w:color w:val="auto"/>
          <w:spacing w:val="0"/>
          <w:position w:val="0"/>
          <w:sz w:val="28"/>
          <w:szCs w:val="28"/>
          <w:highlight w:val="none"/>
          <w:lang w:eastAsia="zh-CN"/>
        </w:rPr>
        <w:t>。</w:t>
      </w:r>
    </w:p>
    <w:p w14:paraId="34293B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合同履行期限：详见第三部分《项目需求》</w:t>
      </w:r>
      <w:r>
        <w:rPr>
          <w:rFonts w:hint="eastAsia" w:ascii="宋体" w:hAnsi="宋体" w:eastAsia="宋体" w:cs="宋体"/>
          <w:color w:val="auto"/>
          <w:spacing w:val="0"/>
          <w:position w:val="0"/>
          <w:sz w:val="28"/>
          <w:szCs w:val="28"/>
          <w:highlight w:val="none"/>
          <w:lang w:val="zh-CN"/>
        </w:rPr>
        <w:t>。</w:t>
      </w:r>
    </w:p>
    <w:p w14:paraId="4E5208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本项目不接受联合体。 </w:t>
      </w:r>
    </w:p>
    <w:p w14:paraId="1D50C3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本项目不接受分包。</w:t>
      </w:r>
    </w:p>
    <w:p w14:paraId="782D9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二、响应供应商的资格要求</w:t>
      </w:r>
    </w:p>
    <w:p w14:paraId="14686D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1、满足《中华人民共和国政府采购法》第二十二条规定；</w:t>
      </w:r>
    </w:p>
    <w:p w14:paraId="4F0C9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2、落实政府采购政策需满足的资格要求：无。</w:t>
      </w:r>
    </w:p>
    <w:p w14:paraId="21D3B2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3、本项目的特定资格要求：</w:t>
      </w:r>
    </w:p>
    <w:p w14:paraId="0651AE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（1）供应商应为在中华人民共和国境内注册的货物制造商或经销商，有能力提供本项目中所采购的货物及服务，提供有效的营业执照；</w:t>
      </w:r>
    </w:p>
    <w:p w14:paraId="44A25E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（2）未被“信用中国”、“中国政府采购网”、“信用江苏”网站列入失信被执行人、重大税收违法案件当事人名单、政府采购严重违法失信行为记录名单(提供网页截图)；</w:t>
      </w:r>
    </w:p>
    <w:p w14:paraId="22BE1C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（3）投标产品应具有国家公安部消防局指定的认证单位出具的强制性产品认证或型式认可证书和国家消防产品质量监督部门出具的质检报告；</w:t>
      </w:r>
    </w:p>
    <w:p w14:paraId="5C92FB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（4）供应商须提供有效期内的ISO9001质量体系认证证书；（若为经销商的，则需提供投标品牌厂家的ISO9001质量体系认证证书原件扫描件）；</w:t>
      </w:r>
    </w:p>
    <w:p w14:paraId="370036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（5）供应商必须有充足的库存物资，保证按时供货的承诺（提供承诺函原件加盖公章，格式自拟）；</w:t>
      </w:r>
    </w:p>
    <w:p w14:paraId="5AC09A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 xml:space="preserve">（6）供应商须提供近五年（自提交投标文件截止日前推五年，以合同签订时间为准）以来具有与本项目产品相类似的供货业绩（提供合同及相应发票复印件）； </w:t>
      </w:r>
    </w:p>
    <w:p w14:paraId="2B7E32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（7）本项目招标不接受联合体投标。</w:t>
      </w:r>
    </w:p>
    <w:p w14:paraId="48D8C8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三、获取采购文件</w:t>
      </w:r>
    </w:p>
    <w:p w14:paraId="7960F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时间：自本公告发布之日起至202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Theme="minorEastAsia" w:hAnsiTheme="minorEastAsia" w:eastAsiaTheme="minorEastAsia"/>
          <w:color w:val="auto"/>
          <w:sz w:val="28"/>
          <w:szCs w:val="28"/>
          <w:highlight w:val="none"/>
          <w:lang w:val="en-US" w:eastAsia="zh-CN"/>
        </w:rPr>
        <w:t>04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25</w:t>
      </w:r>
      <w:r>
        <w:rPr>
          <w:rFonts w:asciiTheme="minorEastAsia" w:hAnsiTheme="minorEastAsia" w:eastAsiaTheme="minorEastAsia"/>
          <w:color w:val="auto"/>
          <w:sz w:val="28"/>
          <w:szCs w:val="28"/>
          <w:highlight w:val="none"/>
        </w:rPr>
        <w:t>日</w:t>
      </w:r>
      <w:r>
        <w:rPr>
          <w:rFonts w:hint="eastAsia" w:ascii="宋体" w:hAnsi="宋体" w:eastAsia="宋体" w:cs="宋体"/>
          <w:color w:val="auto"/>
          <w:spacing w:val="0"/>
          <w:position w:val="0"/>
          <w:sz w:val="28"/>
          <w:szCs w:val="28"/>
          <w:highlight w:val="none"/>
          <w:lang w:val="en-US" w:eastAsia="zh-CN"/>
        </w:rPr>
        <w:t>14</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3</w:t>
      </w:r>
      <w:r>
        <w:rPr>
          <w:rFonts w:hint="eastAsia" w:ascii="宋体" w:hAnsi="宋体" w:eastAsia="宋体" w:cs="宋体"/>
          <w:color w:val="auto"/>
          <w:spacing w:val="0"/>
          <w:position w:val="0"/>
          <w:sz w:val="28"/>
          <w:szCs w:val="28"/>
          <w:highlight w:val="none"/>
        </w:rPr>
        <w:t>0分</w:t>
      </w:r>
    </w:p>
    <w:p w14:paraId="2CC7ED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获取的地点、方式：供应商</w:t>
      </w:r>
      <w:r>
        <w:rPr>
          <w:rFonts w:hint="eastAsia" w:ascii="宋体" w:hAnsi="宋体" w:cs="宋体"/>
          <w:color w:val="auto"/>
          <w:spacing w:val="7"/>
          <w:kern w:val="0"/>
          <w:sz w:val="28"/>
          <w:szCs w:val="28"/>
          <w:highlight w:val="none"/>
        </w:rPr>
        <w:t>登录</w:t>
      </w:r>
      <w:r>
        <w:rPr>
          <w:rFonts w:hint="eastAsia" w:ascii="宋体" w:hAnsi="宋体" w:eastAsia="宋体" w:cs="宋体"/>
          <w:color w:val="auto"/>
          <w:sz w:val="28"/>
          <w:szCs w:val="28"/>
          <w:highlight w:val="none"/>
          <w:lang w:val="en-US" w:eastAsia="zh-CN"/>
        </w:rPr>
        <w:t>“启东市自来水厂有限公司”网站</w:t>
      </w:r>
      <w:r>
        <w:rPr>
          <w:rFonts w:hint="eastAsia" w:ascii="宋体" w:hAnsi="宋体" w:cs="宋体"/>
          <w:color w:val="auto"/>
          <w:sz w:val="28"/>
          <w:szCs w:val="28"/>
          <w:highlight w:val="none"/>
        </w:rPr>
        <w:t>自行</w:t>
      </w:r>
      <w:r>
        <w:rPr>
          <w:rFonts w:hint="eastAsia" w:ascii="宋体" w:hAnsi="宋体" w:cs="宋体"/>
          <w:color w:val="auto"/>
          <w:spacing w:val="7"/>
          <w:kern w:val="0"/>
          <w:sz w:val="28"/>
          <w:szCs w:val="28"/>
          <w:highlight w:val="none"/>
        </w:rPr>
        <w:t>下载</w:t>
      </w:r>
      <w:r>
        <w:rPr>
          <w:rFonts w:hint="eastAsia" w:ascii="宋体" w:hAnsi="宋体" w:eastAsia="宋体" w:cs="宋体"/>
          <w:color w:val="auto"/>
          <w:spacing w:val="0"/>
          <w:position w:val="0"/>
          <w:sz w:val="28"/>
          <w:szCs w:val="28"/>
          <w:highlight w:val="none"/>
        </w:rPr>
        <w:t>。</w:t>
      </w:r>
    </w:p>
    <w:p w14:paraId="526167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四、响应文件提交</w:t>
      </w:r>
    </w:p>
    <w:p w14:paraId="19A868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递交时间：投标申请人应于202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lang w:val="en-US" w:eastAsia="zh-CN"/>
        </w:rPr>
        <w:t>0</w:t>
      </w:r>
      <w:r>
        <w:rPr>
          <w:rFonts w:hint="eastAsia" w:asciiTheme="minorEastAsia" w:hAnsiTheme="minorEastAsia" w:eastAsiaTheme="minorEastAsia"/>
          <w:color w:val="auto"/>
          <w:sz w:val="28"/>
          <w:szCs w:val="28"/>
          <w:highlight w:val="none"/>
          <w:lang w:val="en-US" w:eastAsia="zh-CN"/>
        </w:rPr>
        <w:t>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25</w:t>
      </w:r>
      <w:r>
        <w:rPr>
          <w:rFonts w:asciiTheme="minorEastAsia" w:hAnsiTheme="minorEastAsia" w:eastAsiaTheme="minorEastAsia"/>
          <w:color w:val="auto"/>
          <w:sz w:val="28"/>
          <w:szCs w:val="28"/>
          <w:highlight w:val="none"/>
        </w:rPr>
        <w:t>日</w:t>
      </w:r>
      <w:r>
        <w:rPr>
          <w:rFonts w:hint="eastAsia" w:ascii="宋体" w:hAnsi="宋体" w:eastAsia="宋体" w:cs="宋体"/>
          <w:color w:val="auto"/>
          <w:spacing w:val="0"/>
          <w:position w:val="0"/>
          <w:sz w:val="28"/>
          <w:szCs w:val="28"/>
          <w:highlight w:val="none"/>
          <w:lang w:val="en-US" w:eastAsia="zh-CN"/>
        </w:rPr>
        <w:t>14</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0</w:t>
      </w:r>
      <w:r>
        <w:rPr>
          <w:rFonts w:hint="eastAsia" w:ascii="宋体" w:hAnsi="宋体" w:eastAsia="宋体" w:cs="宋体"/>
          <w:color w:val="auto"/>
          <w:spacing w:val="0"/>
          <w:position w:val="0"/>
          <w:sz w:val="28"/>
          <w:szCs w:val="28"/>
          <w:highlight w:val="none"/>
        </w:rPr>
        <w:t>0-</w:t>
      </w:r>
      <w:r>
        <w:rPr>
          <w:rFonts w:hint="eastAsia" w:ascii="宋体" w:hAnsi="宋体" w:eastAsia="宋体" w:cs="宋体"/>
          <w:color w:val="auto"/>
          <w:spacing w:val="0"/>
          <w:position w:val="0"/>
          <w:sz w:val="28"/>
          <w:szCs w:val="28"/>
          <w:highlight w:val="none"/>
          <w:lang w:val="en-US" w:eastAsia="zh-CN"/>
        </w:rPr>
        <w:t>14</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3</w:t>
      </w:r>
      <w:r>
        <w:rPr>
          <w:rFonts w:hint="eastAsia" w:ascii="宋体" w:hAnsi="宋体" w:eastAsia="宋体" w:cs="宋体"/>
          <w:color w:val="auto"/>
          <w:spacing w:val="0"/>
          <w:position w:val="0"/>
          <w:sz w:val="28"/>
          <w:szCs w:val="28"/>
          <w:highlight w:val="none"/>
        </w:rPr>
        <w:t>0送至启东市汇龙镇金沙江路672号启东</w:t>
      </w:r>
      <w:bookmarkStart w:id="0" w:name="_GoBack"/>
      <w:bookmarkEnd w:id="0"/>
      <w:r>
        <w:rPr>
          <w:rFonts w:hint="eastAsia" w:ascii="宋体" w:hAnsi="宋体" w:eastAsia="宋体" w:cs="宋体"/>
          <w:color w:val="auto"/>
          <w:spacing w:val="0"/>
          <w:position w:val="0"/>
          <w:sz w:val="28"/>
          <w:szCs w:val="28"/>
          <w:highlight w:val="none"/>
        </w:rPr>
        <w:t>城投集团有限公司二楼开标室并登记（只接受直接送达），逾时则不予受理。</w:t>
      </w:r>
    </w:p>
    <w:p w14:paraId="779C9A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开标时间：</w:t>
      </w:r>
      <w:r>
        <w:rPr>
          <w:rFonts w:hint="eastAsia" w:ascii="宋体" w:hAnsi="宋体" w:eastAsia="宋体" w:cs="宋体"/>
          <w:color w:val="auto"/>
          <w:spacing w:val="0"/>
          <w:position w:val="0"/>
          <w:sz w:val="28"/>
          <w:szCs w:val="28"/>
          <w:highlight w:val="none"/>
          <w:lang w:val="en-US" w:eastAsia="zh-CN"/>
        </w:rPr>
        <w:t>2025年04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25</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14</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3</w:t>
      </w:r>
      <w:r>
        <w:rPr>
          <w:rFonts w:hint="eastAsia" w:ascii="宋体" w:hAnsi="宋体" w:eastAsia="宋体" w:cs="宋体"/>
          <w:color w:val="auto"/>
          <w:spacing w:val="0"/>
          <w:position w:val="0"/>
          <w:sz w:val="28"/>
          <w:szCs w:val="28"/>
          <w:highlight w:val="none"/>
        </w:rPr>
        <w:t>0分（北京时间）</w:t>
      </w:r>
    </w:p>
    <w:p w14:paraId="654407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11"/>
          <w:position w:val="0"/>
          <w:sz w:val="28"/>
          <w:szCs w:val="28"/>
          <w:highlight w:val="none"/>
        </w:rPr>
      </w:pPr>
      <w:r>
        <w:rPr>
          <w:rFonts w:hint="eastAsia" w:ascii="宋体" w:hAnsi="宋体" w:eastAsia="宋体" w:cs="宋体"/>
          <w:color w:val="auto"/>
          <w:spacing w:val="0"/>
          <w:position w:val="0"/>
          <w:sz w:val="28"/>
          <w:szCs w:val="28"/>
          <w:highlight w:val="none"/>
        </w:rPr>
        <w:t>开标地点：</w:t>
      </w:r>
      <w:r>
        <w:rPr>
          <w:rFonts w:hint="eastAsia" w:ascii="宋体" w:hAnsi="宋体" w:eastAsia="宋体" w:cs="宋体"/>
          <w:color w:val="auto"/>
          <w:spacing w:val="-11"/>
          <w:position w:val="0"/>
          <w:sz w:val="28"/>
          <w:szCs w:val="28"/>
          <w:highlight w:val="none"/>
        </w:rPr>
        <w:t>启东市汇龙镇金沙江路672号启东城投集团有限公司二楼开标室。</w:t>
      </w:r>
    </w:p>
    <w:p w14:paraId="0874C3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五、公告期限</w:t>
      </w:r>
    </w:p>
    <w:p w14:paraId="342786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自本公告发布之日起3个工作日。</w:t>
      </w:r>
    </w:p>
    <w:p w14:paraId="340B76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六、其他补充事宜</w:t>
      </w:r>
    </w:p>
    <w:p w14:paraId="09E287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1.响应保证金：免收。</w:t>
      </w:r>
    </w:p>
    <w:p w14:paraId="2FACA1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2.项目开标活动模式：</w:t>
      </w:r>
      <w:r>
        <w:rPr>
          <w:rFonts w:hint="eastAsia" w:ascii="宋体" w:hAnsi="宋体" w:eastAsia="宋体" w:cs="宋体"/>
          <w:color w:val="auto"/>
          <w:spacing w:val="0"/>
          <w:position w:val="0"/>
          <w:sz w:val="28"/>
          <w:szCs w:val="28"/>
          <w:highlight w:val="none"/>
          <w:lang w:val="en-US" w:eastAsia="zh-CN"/>
        </w:rPr>
        <w:t>现场</w:t>
      </w:r>
      <w:r>
        <w:rPr>
          <w:rFonts w:hint="eastAsia" w:ascii="宋体" w:hAnsi="宋体" w:eastAsia="宋体" w:cs="宋体"/>
          <w:color w:val="auto"/>
          <w:spacing w:val="0"/>
          <w:position w:val="0"/>
          <w:sz w:val="28"/>
          <w:szCs w:val="28"/>
          <w:highlight w:val="none"/>
        </w:rPr>
        <w:t>开标模式。</w:t>
      </w:r>
    </w:p>
    <w:p w14:paraId="33C236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3.项目样品：无。</w:t>
      </w:r>
    </w:p>
    <w:p w14:paraId="5EAEB4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4.对项目需求部分（供应商资格要求、项目需求）的询问、质疑请向采购人提出，由采购人负责答复；对项目采购文件其他部分的询问、质疑请向代理机构提出。</w:t>
      </w:r>
    </w:p>
    <w:p w14:paraId="013145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七、凡对本次采购提出询问，请按以下方式联系</w:t>
      </w:r>
    </w:p>
    <w:p w14:paraId="78CFD8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1.采购人信息</w:t>
      </w:r>
    </w:p>
    <w:p w14:paraId="25479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名 称：</w:t>
      </w:r>
      <w:r>
        <w:rPr>
          <w:rFonts w:hint="eastAsia" w:ascii="宋体" w:hAnsi="宋体" w:eastAsia="宋体" w:cs="宋体"/>
          <w:color w:val="auto"/>
          <w:spacing w:val="0"/>
          <w:position w:val="0"/>
          <w:sz w:val="28"/>
          <w:szCs w:val="28"/>
          <w:highlight w:val="none"/>
          <w:lang w:eastAsia="zh-CN"/>
        </w:rPr>
        <w:t>启东市自来水厂有限公司</w:t>
      </w:r>
    </w:p>
    <w:p w14:paraId="27C5C414">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地址：启东市汇龙镇金沙江路672号</w:t>
      </w:r>
    </w:p>
    <w:p w14:paraId="5230DE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联系人：</w:t>
      </w:r>
      <w:r>
        <w:rPr>
          <w:rFonts w:hint="eastAsia" w:ascii="宋体" w:hAnsi="宋体" w:eastAsia="宋体" w:cs="宋体"/>
          <w:color w:val="auto"/>
          <w:spacing w:val="0"/>
          <w:position w:val="0"/>
          <w:sz w:val="28"/>
          <w:szCs w:val="28"/>
          <w:highlight w:val="none"/>
          <w:lang w:eastAsia="zh-CN"/>
        </w:rPr>
        <w:t>张黎黎</w:t>
      </w:r>
    </w:p>
    <w:p w14:paraId="2F8476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电话：</w:t>
      </w:r>
      <w:r>
        <w:rPr>
          <w:rFonts w:hint="eastAsia" w:ascii="宋体" w:hAnsi="宋体" w:eastAsia="宋体" w:cs="宋体"/>
          <w:color w:val="auto"/>
          <w:spacing w:val="0"/>
          <w:position w:val="0"/>
          <w:sz w:val="28"/>
          <w:szCs w:val="28"/>
          <w:highlight w:val="none"/>
          <w:lang w:eastAsia="zh-CN"/>
        </w:rPr>
        <w:t>0513-83109995</w:t>
      </w:r>
    </w:p>
    <w:p w14:paraId="5510C8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2.采购代理机构</w:t>
      </w:r>
    </w:p>
    <w:p w14:paraId="652131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代理单位：江苏本源工程项目管理有限公司</w:t>
      </w:r>
    </w:p>
    <w:p w14:paraId="32371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地    址：启东市汇龙镇江海中路544号鑫磊大厦6楼</w:t>
      </w:r>
    </w:p>
    <w:p w14:paraId="214C5F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default" w:ascii="宋体" w:hAnsi="宋体" w:eastAsia="宋体" w:cs="宋体"/>
          <w:bCs/>
          <w:color w:val="auto"/>
          <w:spacing w:val="0"/>
          <w:position w:val="0"/>
          <w:sz w:val="28"/>
          <w:szCs w:val="28"/>
          <w:highlight w:val="none"/>
          <w:lang w:val="en-US"/>
        </w:rPr>
      </w:pPr>
      <w:r>
        <w:rPr>
          <w:rFonts w:hint="eastAsia" w:ascii="宋体" w:hAnsi="宋体" w:eastAsia="宋体" w:cs="宋体"/>
          <w:bCs/>
          <w:color w:val="auto"/>
          <w:spacing w:val="0"/>
          <w:position w:val="0"/>
          <w:sz w:val="28"/>
          <w:szCs w:val="28"/>
          <w:highlight w:val="none"/>
        </w:rPr>
        <w:t>联 系 人：</w:t>
      </w:r>
      <w:r>
        <w:rPr>
          <w:rFonts w:hint="eastAsia" w:ascii="宋体" w:hAnsi="宋体" w:eastAsia="宋体" w:cs="宋体"/>
          <w:bCs/>
          <w:color w:val="auto"/>
          <w:spacing w:val="0"/>
          <w:position w:val="0"/>
          <w:sz w:val="28"/>
          <w:szCs w:val="28"/>
          <w:highlight w:val="none"/>
          <w:lang w:val="en-US" w:eastAsia="zh-CN"/>
        </w:rPr>
        <w:t>杨欣婷</w:t>
      </w:r>
    </w:p>
    <w:p w14:paraId="5CB00A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default" w:ascii="宋体" w:hAnsi="宋体" w:eastAsia="宋体" w:cs="宋体"/>
          <w:bCs/>
          <w:color w:val="auto"/>
          <w:spacing w:val="0"/>
          <w:position w:val="0"/>
          <w:sz w:val="28"/>
          <w:szCs w:val="28"/>
          <w:highlight w:val="none"/>
          <w:lang w:val="en-US" w:eastAsia="zh-CN"/>
        </w:rPr>
      </w:pPr>
      <w:r>
        <w:rPr>
          <w:rFonts w:hint="eastAsia" w:ascii="宋体" w:hAnsi="宋体" w:eastAsia="宋体" w:cs="宋体"/>
          <w:bCs/>
          <w:color w:val="auto"/>
          <w:spacing w:val="0"/>
          <w:position w:val="0"/>
          <w:sz w:val="28"/>
          <w:szCs w:val="28"/>
          <w:highlight w:val="none"/>
        </w:rPr>
        <w:t>联系电话：0513-</w:t>
      </w:r>
      <w:r>
        <w:rPr>
          <w:rFonts w:hint="eastAsia" w:ascii="宋体" w:hAnsi="宋体" w:eastAsia="宋体" w:cs="宋体"/>
          <w:bCs/>
          <w:color w:val="auto"/>
          <w:spacing w:val="0"/>
          <w:position w:val="0"/>
          <w:sz w:val="28"/>
          <w:szCs w:val="28"/>
          <w:highlight w:val="none"/>
          <w:lang w:val="en-US" w:eastAsia="zh-CN"/>
        </w:rPr>
        <w:t>83351266</w:t>
      </w:r>
    </w:p>
    <w:p w14:paraId="7BD82161">
      <w:pPr>
        <w:pStyle w:val="2"/>
        <w:spacing w:line="266" w:lineRule="auto"/>
        <w:rPr>
          <w:color w:val="auto"/>
          <w:highlight w:val="none"/>
        </w:rPr>
      </w:pPr>
    </w:p>
    <w:p w14:paraId="15A05AD1">
      <w:pPr>
        <w:pStyle w:val="2"/>
        <w:spacing w:line="267" w:lineRule="auto"/>
        <w:rPr>
          <w:color w:val="auto"/>
          <w:highlight w:val="none"/>
        </w:rPr>
      </w:pPr>
    </w:p>
    <w:p w14:paraId="44013724">
      <w:pPr>
        <w:pStyle w:val="2"/>
        <w:spacing w:line="267" w:lineRule="auto"/>
        <w:rPr>
          <w:color w:val="auto"/>
          <w:highlight w:val="none"/>
        </w:rPr>
      </w:pPr>
    </w:p>
    <w:p w14:paraId="09557BE3">
      <w:pPr>
        <w:pStyle w:val="2"/>
        <w:spacing w:line="341" w:lineRule="auto"/>
        <w:rPr>
          <w:color w:val="auto"/>
          <w:highlight w:val="none"/>
        </w:rPr>
      </w:pPr>
    </w:p>
    <w:p w14:paraId="35D1A7CD">
      <w:pPr>
        <w:spacing w:line="219" w:lineRule="auto"/>
        <w:rPr>
          <w:rFonts w:ascii="宋体" w:hAnsi="宋体" w:eastAsia="宋体" w:cs="宋体"/>
          <w:color w:val="auto"/>
          <w:sz w:val="28"/>
          <w:szCs w:val="28"/>
          <w:highlight w:val="none"/>
        </w:rPr>
        <w:sectPr>
          <w:footerReference r:id="rId7" w:type="default"/>
          <w:pgSz w:w="11907" w:h="16839"/>
          <w:pgMar w:top="1431" w:right="1361" w:bottom="1152" w:left="1361" w:header="0" w:footer="989" w:gutter="0"/>
          <w:pgNumType w:fmt="decimal"/>
          <w:cols w:space="720" w:num="1"/>
        </w:sectPr>
      </w:pPr>
    </w:p>
    <w:p w14:paraId="05F00C88">
      <w:pPr>
        <w:spacing w:before="99" w:line="220" w:lineRule="auto"/>
        <w:ind w:left="2834"/>
        <w:outlineLvl w:val="2"/>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rPr>
        <w:t>第二部分</w:t>
      </w:r>
      <w:r>
        <w:rPr>
          <w:rFonts w:ascii="宋体" w:hAnsi="宋体" w:eastAsia="宋体" w:cs="宋体"/>
          <w:color w:val="auto"/>
          <w:spacing w:val="16"/>
          <w:sz w:val="36"/>
          <w:szCs w:val="36"/>
          <w:highlight w:val="none"/>
        </w:rPr>
        <w:t xml:space="preserve">  </w:t>
      </w:r>
      <w:r>
        <w:rPr>
          <w:rFonts w:ascii="宋体" w:hAnsi="宋体" w:eastAsia="宋体" w:cs="宋体"/>
          <w:color w:val="auto"/>
          <w:spacing w:val="-5"/>
          <w:sz w:val="36"/>
          <w:szCs w:val="36"/>
          <w:highlight w:val="none"/>
        </w:rPr>
        <w:t>响应须知</w:t>
      </w:r>
    </w:p>
    <w:p w14:paraId="7AA0EA2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一、总则</w:t>
      </w:r>
    </w:p>
    <w:p w14:paraId="57586F6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1.采购方式</w:t>
      </w:r>
    </w:p>
    <w:p w14:paraId="63CC3F0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 xml:space="preserve">本次采购采取询价方式，本询价文件仅适用于询价公告中所述项目。 </w:t>
      </w:r>
    </w:p>
    <w:p w14:paraId="18E65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2.合格的响应供应商</w:t>
      </w:r>
    </w:p>
    <w:p w14:paraId="7DD15EB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2.1满足询价公告中供应商的资格要求的规定。</w:t>
      </w:r>
    </w:p>
    <w:p w14:paraId="3DCE12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2.2满足本文件实质性条款的规定。</w:t>
      </w:r>
    </w:p>
    <w:p w14:paraId="5F7F70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3.适用法律</w:t>
      </w:r>
    </w:p>
    <w:p w14:paraId="1C3A22F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本次询价采购及由此产生的合同受中华人民共和国有关的法律法规 制约和保护。</w:t>
      </w:r>
    </w:p>
    <w:p w14:paraId="42E0955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4.响应费用</w:t>
      </w:r>
    </w:p>
    <w:p w14:paraId="2480CBB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响应供应商应自行承担所有与参加响应有关的费用，无论响应过程中 的做法和结果如何，采购人在任何情况下均无义务和责任承担这些费用。</w:t>
      </w:r>
    </w:p>
    <w:p w14:paraId="0A5799D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5.采购文件的约束力</w:t>
      </w:r>
    </w:p>
    <w:p w14:paraId="11EFE52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响应供应商一旦参加本项目采购活动，即被认为接受了本询价采购文件的规定和约束。</w:t>
      </w:r>
    </w:p>
    <w:p w14:paraId="11DD7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6.采购文件的解释</w:t>
      </w:r>
    </w:p>
    <w:p w14:paraId="26FF960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16"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11"/>
          <w:sz w:val="28"/>
          <w:szCs w:val="28"/>
          <w:highlight w:val="none"/>
        </w:rPr>
        <w:t>本采购文件仅适用于本次询价采购，项目需求部分（供应商资格要求、</w:t>
      </w:r>
      <w:r>
        <w:rPr>
          <w:rFonts w:ascii="宋体" w:hAnsi="宋体" w:eastAsia="宋体" w:cs="宋体"/>
          <w:color w:val="auto"/>
          <w:spacing w:val="0"/>
          <w:sz w:val="28"/>
          <w:szCs w:val="28"/>
          <w:highlight w:val="none"/>
        </w:rPr>
        <w:t>项目需求）由采购人解释，其他部分由代理机构解释。</w:t>
      </w:r>
    </w:p>
    <w:p w14:paraId="3DC538D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7.报价要求</w:t>
      </w:r>
    </w:p>
    <w:p w14:paraId="1EA22B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7.1询价为一次性报价，响应供应商应一次性报出不得更改的价格。供应商的报价应包括本项目所有涉及的全部费用，如设备、标准附件、运输、安装调试、人员培训、质保、售后服务、税金及其他一切有关为完成本项目发生的所有费用，采购文件中另有规定的除外。</w:t>
      </w:r>
    </w:p>
    <w:p w14:paraId="45FE1D6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7.2采购人不接受任何可选择的报价，成交供应商不得在供货期间提出任何增加费用的要求。请各供应商在报价时充分考虑各种因素。</w:t>
      </w:r>
    </w:p>
    <w:p w14:paraId="43DFF27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jc w:val="both"/>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7.3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3E4AA3E9">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二、采购文件</w:t>
      </w:r>
    </w:p>
    <w:p w14:paraId="0CC349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1.采购文件的构成</w:t>
      </w:r>
    </w:p>
    <w:p w14:paraId="780A98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1.1采购文件由以下部分组成：</w:t>
      </w:r>
    </w:p>
    <w:p w14:paraId="4568A08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（1）询价采购公告</w:t>
      </w:r>
    </w:p>
    <w:p w14:paraId="586531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（2）响应须知</w:t>
      </w:r>
    </w:p>
    <w:p w14:paraId="2461F99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（3）项目需求</w:t>
      </w:r>
    </w:p>
    <w:p w14:paraId="1C9A7B1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（4）响应文件组成</w:t>
      </w:r>
    </w:p>
    <w:p w14:paraId="2DC0707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（5）附件</w:t>
      </w:r>
    </w:p>
    <w:p w14:paraId="612F7C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请响应供应商仔细检查采购文件是否齐全，如有缺漏请立即与代理机构联系解决。</w:t>
      </w:r>
    </w:p>
    <w:p w14:paraId="46F2FAC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5712D7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2.询价采购文件的澄清</w:t>
      </w:r>
    </w:p>
    <w:p w14:paraId="38F8DF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5654DD3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3.询价采购文件的修改</w:t>
      </w:r>
    </w:p>
    <w:p w14:paraId="4E16FB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3.1在响应截止时间前，采购人可以对采购文件进行修改。</w:t>
      </w:r>
    </w:p>
    <w:p w14:paraId="50D1E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3.2采购人有权按照法定的要求推迟响应截止日期和开标日期。</w:t>
      </w:r>
    </w:p>
    <w:p w14:paraId="5803F56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3.3采购文件的修改将在</w:t>
      </w:r>
      <w:r>
        <w:rPr>
          <w:rFonts w:hint="eastAsia" w:ascii="宋体" w:hAnsi="宋体" w:eastAsia="宋体" w:cs="宋体"/>
          <w:color w:val="auto"/>
          <w:spacing w:val="0"/>
          <w:sz w:val="28"/>
          <w:szCs w:val="28"/>
          <w:highlight w:val="none"/>
          <w:lang w:val="en-US" w:eastAsia="zh-CN"/>
        </w:rPr>
        <w:t>“启东市自来水厂有限公司”网站</w:t>
      </w:r>
      <w:r>
        <w:rPr>
          <w:rFonts w:ascii="宋体" w:hAnsi="宋体" w:eastAsia="宋体" w:cs="宋体"/>
          <w:color w:val="auto"/>
          <w:spacing w:val="0"/>
          <w:sz w:val="28"/>
          <w:szCs w:val="28"/>
          <w:highlight w:val="none"/>
        </w:rPr>
        <w:t>公布，补充文件将作为采购文件的组成部分，并对响应供应商具有约束力，请供应商及时关注网站公告信息。</w:t>
      </w:r>
    </w:p>
    <w:p w14:paraId="0D69238A">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三、响应文件的编制</w:t>
      </w:r>
    </w:p>
    <w:p w14:paraId="691F260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1.响应文件的语言及度量衡单位</w:t>
      </w:r>
    </w:p>
    <w:p w14:paraId="22E02A5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响应供应商提交的响应文件以及响应供应商与代理机构就有关响应的所有来往通知、函件和文件均应使用简体中文。</w:t>
      </w:r>
    </w:p>
    <w:p w14:paraId="1AF5E4E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除技术性能另有规定外，响应文件所使用的度量衡单位，均须采用国家法定计量单位。</w:t>
      </w:r>
    </w:p>
    <w:p w14:paraId="202592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2.响应文件构成</w:t>
      </w:r>
    </w:p>
    <w:p w14:paraId="1B4FE32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响应供应商应按“第四部分响应文件组成”要求编写响应文件。</w:t>
      </w:r>
    </w:p>
    <w:p w14:paraId="07F296C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3.响应文件的密封、签署、提交</w:t>
      </w:r>
    </w:p>
    <w:p w14:paraId="322132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3.1响应文件必须提供1份正本2份副本。</w:t>
      </w:r>
    </w:p>
    <w:p w14:paraId="4F7844B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3.2响应文件统一采用</w:t>
      </w:r>
      <w:r>
        <w:rPr>
          <w:rFonts w:hint="eastAsia" w:ascii="宋体" w:hAnsi="宋体" w:eastAsia="宋体" w:cs="宋体"/>
          <w:color w:val="auto"/>
          <w:spacing w:val="0"/>
          <w:sz w:val="28"/>
          <w:szCs w:val="28"/>
          <w:highlight w:val="none"/>
          <w:lang w:val="en-US" w:eastAsia="zh-CN"/>
        </w:rPr>
        <w:t>现场</w:t>
      </w:r>
      <w:r>
        <w:rPr>
          <w:rFonts w:ascii="宋体" w:hAnsi="宋体" w:eastAsia="宋体" w:cs="宋体"/>
          <w:color w:val="auto"/>
          <w:spacing w:val="0"/>
          <w:sz w:val="28"/>
          <w:szCs w:val="28"/>
          <w:highlight w:val="none"/>
        </w:rPr>
        <w:t>提交。</w:t>
      </w:r>
    </w:p>
    <w:p w14:paraId="65C0360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3.3响应文件均需采用A4 纸（图纸等除外）打印并装订成册，不允许使用活页夹、拉杆夹、文件夹、塑料方便式书脊（插入式或穿孔式）装订，并应在响应文件封面的右上角清楚地注明“正本”或“副本”。正本和副本如有不一致之处，以正本为准。</w:t>
      </w:r>
    </w:p>
    <w:p w14:paraId="7328130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3.4响应供应商应在响应文件密封袋上标明：采购人名称、项目名称、供应商名称、响应文件名称</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lang w:val="en-US" w:eastAsia="zh-CN"/>
        </w:rPr>
        <w:t>联系电话、日期</w:t>
      </w:r>
      <w:r>
        <w:rPr>
          <w:rFonts w:ascii="宋体" w:hAnsi="宋体" w:eastAsia="宋体" w:cs="宋体"/>
          <w:color w:val="auto"/>
          <w:spacing w:val="0"/>
          <w:sz w:val="28"/>
          <w:szCs w:val="28"/>
          <w:highlight w:val="none"/>
        </w:rPr>
        <w:t>。</w:t>
      </w:r>
    </w:p>
    <w:p w14:paraId="25BEB0B0">
      <w:pPr>
        <w:adjustRightInd w:val="0"/>
        <w:snapToGrid w:val="0"/>
        <w:spacing w:line="500" w:lineRule="exact"/>
        <w:ind w:firstLine="560" w:firstLineChars="200"/>
        <w:rPr>
          <w:rFonts w:ascii="宋体" w:hAnsi="宋体" w:eastAsia="宋体" w:cs="宋体"/>
          <w:color w:val="auto"/>
          <w:spacing w:val="0"/>
          <w:sz w:val="28"/>
          <w:szCs w:val="28"/>
          <w:highlight w:val="none"/>
        </w:rPr>
      </w:pPr>
      <w:r>
        <w:rPr>
          <w:rFonts w:hint="eastAsia" w:ascii="宋体" w:hAnsi="宋体" w:cs="宋体"/>
          <w:b/>
          <w:bCs w:val="0"/>
          <w:color w:val="auto"/>
          <w:sz w:val="28"/>
          <w:szCs w:val="28"/>
          <w:highlight w:val="none"/>
        </w:rPr>
        <w:t>供应商的响应文件分二包密封，一包资格审查证明材料文件、一包价格标（每包内含相应文件正副本）；投标人必须将资格审查证明材料文件，价格标分开封装。</w:t>
      </w:r>
    </w:p>
    <w:p w14:paraId="1D9462E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3.5所有响应文件密封袋的封口处均应加盖供应商印章。</w:t>
      </w:r>
    </w:p>
    <w:p w14:paraId="5A5D83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3.6如果响应供应商未按上述要求装订密封及加写标记，将作无效响应文件处理。</w:t>
      </w:r>
    </w:p>
    <w:p w14:paraId="1EABB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4.响应文件的盖章要求</w:t>
      </w:r>
    </w:p>
    <w:p w14:paraId="4B6B8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4.1响应文件必须加盖骑缝章或每页盖章。</w:t>
      </w:r>
    </w:p>
    <w:p w14:paraId="35FFB02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4.2响应文件如有修改、行间内插字和增删，修改处应由响应供应商加盖印章。</w:t>
      </w:r>
    </w:p>
    <w:p w14:paraId="7932CA9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39EF059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5.响应有效期</w:t>
      </w:r>
    </w:p>
    <w:p w14:paraId="14534E3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响应文件和响应供应商法定代表人或其授权委托人签署的文件、资料的有效期为自开标之日起60个日历日。响应有效期比规定短的将被视为非响应性响应而予以拒绝。</w:t>
      </w:r>
    </w:p>
    <w:p w14:paraId="0425B2E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6.响应有效期的延长</w:t>
      </w:r>
    </w:p>
    <w:p w14:paraId="482991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14:paraId="52ACD710">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四、响应文件的递交</w:t>
      </w:r>
    </w:p>
    <w:p w14:paraId="44BF57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1.响应文件的递交</w:t>
      </w:r>
    </w:p>
    <w:p w14:paraId="223B33B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1.1响应供应商应当在响应文件提交截止时间前提交按照采购文件要 求密封的响应文件。</w:t>
      </w:r>
    </w:p>
    <w:p w14:paraId="0CD20F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1.2响应文件的内容不清楚或不清晰的，造成无法评审或部分影响评审的，导致评审差错的，责任由供应商自负。</w:t>
      </w:r>
    </w:p>
    <w:p w14:paraId="76135CC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2.响应截止日期</w:t>
      </w:r>
    </w:p>
    <w:p w14:paraId="7FD8E5A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2.1响应供应商提交的响应文件的时间不得迟于采购公告中规定的响应文件提交截止时间。响应供应商应充分考虑天气、路程等因素，如因供应商自身原因造成的后果由响应供应商自行承担全部责任。</w:t>
      </w:r>
    </w:p>
    <w:p w14:paraId="4698D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2.2采购人可以按照规定，通过修改响应文件酌情延长响应文件提交截止日期，在此情况下，响应供应商的所有权利和义务以及响应供应商受制的截止日期均应以延长后新的截止日期为准。</w:t>
      </w:r>
    </w:p>
    <w:p w14:paraId="5A63C1F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3.响应文件的拒收</w:t>
      </w:r>
    </w:p>
    <w:p w14:paraId="245394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采购人拒绝接收未按照采购文件要求密封的响应文件，拒绝接收在响应文件接收截止时间后送达的响应文件。</w:t>
      </w:r>
    </w:p>
    <w:p w14:paraId="2C8B864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4.响应文件的修改</w:t>
      </w:r>
    </w:p>
    <w:p w14:paraId="49AC68F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4.1在响应文件提交截止时间之后，响应供应商不得对其响应文件作任何修改。</w:t>
      </w:r>
    </w:p>
    <w:p w14:paraId="6D1B1D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4.2在响应文件提交截止时间至采购文件中规定的响应有效期满之间的这段时间内，响应供应商不得撤回其响应。</w:t>
      </w:r>
    </w:p>
    <w:p w14:paraId="77793BD3">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五、询价采购程序</w:t>
      </w:r>
    </w:p>
    <w:p w14:paraId="014286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1.询价小组</w:t>
      </w:r>
    </w:p>
    <w:p w14:paraId="35CB55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1.1开标后，采购人将立即组织询价小组进行评标。</w:t>
      </w:r>
    </w:p>
    <w:p w14:paraId="1542D8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1.2询价小组由政府采购评审专家和采购人代表组成，且人员构成符合政府采购有关规定。</w:t>
      </w:r>
    </w:p>
    <w:p w14:paraId="349B9E4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1.3询价小组应当按照客观、公正、审慎的原则评审响应供应商的响应文件。</w:t>
      </w:r>
    </w:p>
    <w:p w14:paraId="1B45D6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2.响应的澄清</w:t>
      </w:r>
    </w:p>
    <w:p w14:paraId="4651FD7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2.1评审期间，为有助于对响应文件的审查、评价和比较，询价小组有权要求供应商对其响应文件进行澄清，但并非对每个供应商都作澄清要求。</w:t>
      </w:r>
    </w:p>
    <w:p w14:paraId="55491C5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58B57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2.3接到询价小组澄清要求的供应商如未按规定做出澄清，其风险由供应商自行承担。</w:t>
      </w:r>
    </w:p>
    <w:p w14:paraId="3586FF8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3.对响应文件的初审</w:t>
      </w:r>
    </w:p>
    <w:p w14:paraId="517FE0E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3.1响应文件初审分为资格性检查和符合性检查。</w:t>
      </w:r>
    </w:p>
    <w:p w14:paraId="523C1D8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280" w:firstLineChars="1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（1）资格性检查：依据法律法规和采购文件的规定，对响应文件中的资格证明文件等进行审查，以确定供应商是否具备参加询价的资格。</w:t>
      </w:r>
    </w:p>
    <w:p w14:paraId="61226A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询价小组在进行资格性审查的同时，将在“信用中国”网站对供应 商是否被列入失信被执行人、重大税收违法案件当事人名单、政府采购 严重失信行为记录名单情况进行查询，以确定供应商是否具备参加询价 的资格。</w:t>
      </w:r>
    </w:p>
    <w:p w14:paraId="00AF293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6CFDB6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资格性审查未通过的响应供应商作无效响应处理。</w:t>
      </w:r>
    </w:p>
    <w:p w14:paraId="405C821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5BAA6C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（3）未通过资格性审查或符合性审查的响应供应商，代理机构将告知其未通过资格性审查或符合性审查的原因。</w:t>
      </w:r>
    </w:p>
    <w:p w14:paraId="09F06F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3.2询价小组将对确定为实质性响应的响应进行进一步审核，看其是否有计算上或累加上的算术错误，修正错误的原则如下：</w:t>
      </w:r>
    </w:p>
    <w:p w14:paraId="473B76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（1）响应文件中开标一览表内容与响应文件中相应内容不一致的，以开标一览表为准。</w:t>
      </w:r>
    </w:p>
    <w:p w14:paraId="2BFC902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（2）大写金额和小写金额不一致的，以大写金额为准。</w:t>
      </w:r>
    </w:p>
    <w:p w14:paraId="7DEC2C5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（3）总价金额与按单价汇总金额不一致的，以单价金额计算结果为准。</w:t>
      </w:r>
    </w:p>
    <w:p w14:paraId="6DD679E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同时出现两种以上错误的，按照前款规定的顺序修正。</w:t>
      </w:r>
    </w:p>
    <w:p w14:paraId="1FF3028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547E9B1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62F266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8" w:type="default"/>
          <w:pgSz w:w="11907" w:h="16839"/>
          <w:pgMar w:top="1431" w:right="1494" w:bottom="1153" w:left="1596" w:header="0" w:footer="988" w:gutter="0"/>
          <w:pgNumType w:fmt="decimal"/>
          <w:cols w:space="720" w:num="1"/>
        </w:sectPr>
      </w:pPr>
    </w:p>
    <w:p w14:paraId="07D2E3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3.5询价小组允许修正响应文件中不构成重大偏离的、微小的、非正规的、不一致的或不规则的地方，但这些修改不能影响任何响应供应商相应的名次排列。</w:t>
      </w:r>
    </w:p>
    <w:p w14:paraId="28F550A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36E6F9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非单一产品采购项目，采购文件中将载明其中的核心产品。多家响应 供应商提供的核心产品为同一品牌同一型号的，按前款规定处理。</w:t>
      </w:r>
    </w:p>
    <w:p w14:paraId="2E803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3.7响应供应商在询价采购活动全过程中应保持通讯畅通，并安排专 人与采购人及询价小组联系。</w:t>
      </w:r>
    </w:p>
    <w:p w14:paraId="397FC6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outlineLvl w:val="4"/>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4.无效响应及废标情形</w:t>
      </w:r>
    </w:p>
    <w:p w14:paraId="6F77F01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4.1符合下列情形之一者，响应供应商响应无效：</w:t>
      </w:r>
    </w:p>
    <w:p w14:paraId="6760D0F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（1）响应供应商未按本采购文件要求进行制作或密封的；</w:t>
      </w:r>
    </w:p>
    <w:p w14:paraId="6DB64B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hint="eastAsia" w:ascii="宋体" w:hAnsi="宋体" w:eastAsia="宋体" w:cs="宋体"/>
          <w:color w:val="auto"/>
          <w:spacing w:val="0"/>
          <w:sz w:val="28"/>
          <w:szCs w:val="28"/>
          <w:highlight w:val="none"/>
          <w:lang w:eastAsia="zh-CN"/>
        </w:rPr>
      </w:pPr>
      <w:r>
        <w:rPr>
          <w:rFonts w:ascii="宋体" w:hAnsi="宋体" w:eastAsia="宋体" w:cs="宋体"/>
          <w:color w:val="auto"/>
          <w:spacing w:val="0"/>
          <w:sz w:val="28"/>
          <w:szCs w:val="28"/>
          <w:highlight w:val="none"/>
        </w:rPr>
        <w:t>（2）响应文件未按采购文件的要求签字或盖章的</w:t>
      </w:r>
      <w:r>
        <w:rPr>
          <w:rFonts w:hint="eastAsia" w:ascii="宋体" w:hAnsi="宋体" w:eastAsia="宋体" w:cs="宋体"/>
          <w:color w:val="auto"/>
          <w:spacing w:val="0"/>
          <w:sz w:val="28"/>
          <w:szCs w:val="28"/>
          <w:highlight w:val="none"/>
          <w:lang w:eastAsia="zh-CN"/>
        </w:rPr>
        <w:t>；</w:t>
      </w:r>
    </w:p>
    <w:p w14:paraId="0F7132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（3）响应文件未按规定加盖供应商印章，投标报价部分未盖章的；</w:t>
      </w:r>
    </w:p>
    <w:p w14:paraId="254976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（4）响应文件的关键内容字迹模糊，无法辨认的；</w:t>
      </w:r>
    </w:p>
    <w:p w14:paraId="5E39DB9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（5）同一响应供应商提交两个（含两个）以上不同的响应报价的；</w:t>
      </w:r>
    </w:p>
    <w:p w14:paraId="70C616C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（6）响应供应商不具备采购文件中规定资格要求的；</w:t>
      </w:r>
    </w:p>
    <w:p w14:paraId="4F288D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（7）响应供应商的报价超过了采购预算或最高限价的；</w:t>
      </w:r>
    </w:p>
    <w:p w14:paraId="1AA6EE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（8）未通过资格性、符合性审查的；</w:t>
      </w:r>
    </w:p>
    <w:p w14:paraId="1C13546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（9）不符合询价采购文件中规定的其他实质性要求和条件的；</w:t>
      </w:r>
    </w:p>
    <w:p w14:paraId="12A17B4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10）响应供应商被“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07D327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9" w:type="default"/>
          <w:pgSz w:w="11907" w:h="16839"/>
          <w:pgMar w:top="1431" w:right="1288" w:bottom="1153" w:left="1597" w:header="0" w:footer="988" w:gutter="0"/>
          <w:pgNumType w:fmt="decimal"/>
          <w:cols w:space="720" w:num="1"/>
        </w:sectPr>
      </w:pPr>
    </w:p>
    <w:p w14:paraId="7623288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（11）响应文件含有采购人不能接受的附加条件的；</w:t>
      </w:r>
    </w:p>
    <w:p w14:paraId="00CB21EB">
      <w:pPr>
        <w:keepNext w:val="0"/>
        <w:keepLines w:val="0"/>
        <w:pageBreakBefore w:val="0"/>
        <w:widowControl/>
        <w:kinsoku w:val="0"/>
        <w:wordWrap/>
        <w:overflowPunct/>
        <w:topLinePunct w:val="0"/>
        <w:autoSpaceDE w:val="0"/>
        <w:autoSpaceDN w:val="0"/>
        <w:bidi w:val="0"/>
        <w:adjustRightInd w:val="0"/>
        <w:snapToGrid w:val="0"/>
        <w:spacing w:line="500" w:lineRule="exact"/>
        <w:ind w:left="559" w:leftChars="266" w:right="0" w:firstLine="0" w:firstLineChars="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（12）其他法律、法规及本采购文件规定的属无效响应的情形。 4.2 符合下列情形之一者，本采购项目废标：</w:t>
      </w:r>
    </w:p>
    <w:p w14:paraId="09B5BF2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（1）符合专业条件的供应商或者对采购文件作实质响应的供应商不 足三家的；</w:t>
      </w:r>
    </w:p>
    <w:p w14:paraId="4BEA4E0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（2）所有合格响应供应商的报价均超过本项目预算金额或最高限价 的；</w:t>
      </w:r>
    </w:p>
    <w:p w14:paraId="0091F6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（3）出现影响采购公正的违法、违规行为的；</w:t>
      </w:r>
    </w:p>
    <w:p w14:paraId="1B061D0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（4）因重大变故，采购任务取消的；</w:t>
      </w:r>
    </w:p>
    <w:p w14:paraId="7EFB2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废标后，对于特殊紧急的采购项目，经监管部门批准后采购人可直接改变采购方式，现场继续组织采购活动。</w:t>
      </w:r>
    </w:p>
    <w:p w14:paraId="73E66C8C">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六、成交原则</w:t>
      </w:r>
    </w:p>
    <w:p w14:paraId="757840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1.确定成交单位</w:t>
      </w:r>
    </w:p>
    <w:p w14:paraId="5C85F102">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1.1询价小组将从质量和服务均能满足采购文件实质性响应要求的供应商中，按照报价由低到高顺序推荐1名成交候选供应商，</w:t>
      </w:r>
      <w:r>
        <w:rPr>
          <w:rFonts w:hint="eastAsia" w:asciiTheme="minorEastAsia" w:hAnsiTheme="minorEastAsia" w:eastAsiaTheme="minorEastAsia"/>
          <w:color w:val="auto"/>
          <w:sz w:val="28"/>
          <w:szCs w:val="28"/>
          <w:highlight w:val="none"/>
        </w:rPr>
        <w:t>若报价相同时则通过抽签方式随机确定排名顺序，</w:t>
      </w:r>
      <w:r>
        <w:rPr>
          <w:rFonts w:asciiTheme="minorEastAsia" w:hAnsiTheme="minorEastAsia" w:eastAsiaTheme="minorEastAsia"/>
          <w:color w:val="auto"/>
          <w:sz w:val="28"/>
          <w:szCs w:val="28"/>
          <w:highlight w:val="none"/>
        </w:rPr>
        <w:t>并编写评审报告。</w:t>
      </w:r>
    </w:p>
    <w:p w14:paraId="18E82F2D">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采购人</w:t>
      </w:r>
      <w:r>
        <w:rPr>
          <w:rFonts w:hint="eastAsia" w:asciiTheme="minorEastAsia" w:hAnsiTheme="minorEastAsia" w:eastAsiaTheme="minorEastAsia"/>
          <w:color w:val="auto"/>
          <w:sz w:val="28"/>
          <w:szCs w:val="28"/>
          <w:highlight w:val="none"/>
        </w:rPr>
        <w:t>应按照询价</w:t>
      </w:r>
      <w:r>
        <w:rPr>
          <w:rFonts w:asciiTheme="minorEastAsia" w:hAnsiTheme="minorEastAsia" w:eastAsiaTheme="minorEastAsia"/>
          <w:color w:val="auto"/>
          <w:sz w:val="28"/>
          <w:szCs w:val="28"/>
          <w:highlight w:val="none"/>
        </w:rPr>
        <w:t>小组推荐的成交候选</w:t>
      </w:r>
      <w:r>
        <w:rPr>
          <w:rFonts w:hint="eastAsia" w:asciiTheme="minorEastAsia" w:hAnsiTheme="minorEastAsia" w:eastAsiaTheme="minorEastAsia"/>
          <w:color w:val="auto"/>
          <w:sz w:val="28"/>
          <w:szCs w:val="28"/>
          <w:highlight w:val="none"/>
        </w:rPr>
        <w:t>供应商确定</w:t>
      </w:r>
      <w:r>
        <w:rPr>
          <w:rFonts w:asciiTheme="minorEastAsia" w:hAnsiTheme="minorEastAsia" w:eastAsiaTheme="minorEastAsia"/>
          <w:color w:val="auto"/>
          <w:sz w:val="28"/>
          <w:szCs w:val="28"/>
          <w:highlight w:val="none"/>
        </w:rPr>
        <w:t>成交供应商。</w:t>
      </w:r>
    </w:p>
    <w:p w14:paraId="0FC2590D">
      <w:pPr>
        <w:adjustRightInd w:val="0"/>
        <w:snapToGrid w:val="0"/>
        <w:spacing w:line="500" w:lineRule="exact"/>
        <w:ind w:firstLine="560" w:firstLineChars="200"/>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当成交供应商放弃中标、因不可抗力不能履行合同、不按照询价文件要求提交履约保证金，或者被查实存在影响中标结果的违法行为等情形，不符合中标条件的，采购人依法重新组织招标。</w:t>
      </w:r>
    </w:p>
    <w:p w14:paraId="6D3C1E3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1.2对小微型企业、监狱企业和残疾人福利单位的价格扣除</w:t>
      </w:r>
    </w:p>
    <w:p w14:paraId="3235E9C4">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（1）小微型企业价格扣除</w:t>
      </w:r>
    </w:p>
    <w:p w14:paraId="3156FAF6">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本项目对小型和微型企业产品给予10%的扣除价格，用扣除后的价格参与评审。</w:t>
      </w:r>
    </w:p>
    <w:p w14:paraId="01360FC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供应商需按照采购文件的要求提供相应的《中小企业声明函》。</w:t>
      </w:r>
    </w:p>
    <w:p w14:paraId="60B913F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企业标准请参照《关于印发中小企业划型标准规定的通知》（工信部联企业〔2011〕300号）文件规定自行填写。</w:t>
      </w:r>
    </w:p>
    <w:p w14:paraId="3D8C4364">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（2）残疾人福利单位价格扣除</w:t>
      </w:r>
    </w:p>
    <w:p w14:paraId="5A30021A">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本项目对残疾人福利性单位视同小型、微型企业，给予10%的价格扣除，用扣除后的价格参与评审。</w:t>
      </w:r>
    </w:p>
    <w:p w14:paraId="380BD0F5">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残疾人福利单位需按照采购文件的要求提供《残疾人福利性单位声明函》。</w:t>
      </w:r>
    </w:p>
    <w:p w14:paraId="1090C778">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残疾人福利单位标准请参照《关于促进残疾人就业政府采购政策的通知》（财库〔2017〕141号）。</w:t>
      </w:r>
    </w:p>
    <w:p w14:paraId="521022A4">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（3）监狱和戒毒企业价格扣除</w:t>
      </w:r>
    </w:p>
    <w:p w14:paraId="410978BC">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本项目对监狱和戒毒企业（简称监狱企业）视同小型、微型企业，给予10%的价格扣除，用扣除后的价格参与评审。</w:t>
      </w:r>
    </w:p>
    <w:p w14:paraId="4590B4F5">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监狱企业参加政府采购活动时，需提供由省级以上监狱管理局、戒毒管理局(含新疆生产建设兵团)出具的属于监狱企业的证明文件。供应商如不提供上述证明文件，价格将不做相应扣除。</w:t>
      </w:r>
    </w:p>
    <w:p w14:paraId="0C2DC74D">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监狱企业标准请参照《关于政府采购支持监狱企业发展有关问题的通知》（财库〔2014〕68号）。</w:t>
      </w:r>
    </w:p>
    <w:p w14:paraId="2CE5864D">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（4）残疾人福利单位、监狱企业属于小型、微型企业的，不重复享受政策。</w:t>
      </w:r>
    </w:p>
    <w:p w14:paraId="2E2DB5A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1CC99932">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（6）联合体各方均为小型、微型企业（残疾人福利单位、监狱企业）的，联合体享受10%价格扣除，用扣除后的价格参与评审。</w:t>
      </w:r>
    </w:p>
    <w:p w14:paraId="619FE3D2">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（7）</w:t>
      </w:r>
      <w:r>
        <w:rPr>
          <w:rFonts w:hint="eastAsia" w:asciiTheme="minorEastAsia" w:hAnsiTheme="minorEastAsia" w:eastAsiaTheme="minorEastAsia"/>
          <w:color w:val="auto"/>
          <w:sz w:val="28"/>
          <w:szCs w:val="28"/>
          <w:highlight w:val="none"/>
        </w:rPr>
        <w:t>专门面向中小企业采购的项目或者采购包，不再执行价格评审优惠的扶持政策。</w:t>
      </w:r>
    </w:p>
    <w:p w14:paraId="063A2CD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hint="eastAsia" w:asciiTheme="minorEastAsia" w:hAnsiTheme="minorEastAsia" w:eastAsiaTheme="minorEastAsia"/>
          <w:color w:val="auto"/>
          <w:sz w:val="28"/>
          <w:szCs w:val="28"/>
          <w:highlight w:val="none"/>
          <w:lang w:val="en-US" w:eastAsia="zh-CN"/>
        </w:rPr>
        <w:t>本办法未尽事宜，由评标委员会依据相关法规研究确定。</w:t>
      </w:r>
    </w:p>
    <w:p w14:paraId="0CB77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3</w:t>
      </w:r>
      <w:r>
        <w:rPr>
          <w:rFonts w:ascii="宋体" w:hAnsi="宋体" w:eastAsia="宋体" w:cs="宋体"/>
          <w:color w:val="auto"/>
          <w:spacing w:val="0"/>
          <w:sz w:val="28"/>
          <w:szCs w:val="28"/>
          <w:highlight w:val="none"/>
        </w:rPr>
        <w:t xml:space="preserve"> 成交结果公告</w:t>
      </w:r>
    </w:p>
    <w:p w14:paraId="4F33A8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采购人将在</w:t>
      </w:r>
      <w:r>
        <w:rPr>
          <w:rFonts w:hint="eastAsia" w:ascii="宋体" w:hAnsi="宋体" w:eastAsia="宋体" w:cs="宋体"/>
          <w:color w:val="auto"/>
          <w:sz w:val="28"/>
          <w:szCs w:val="28"/>
          <w:highlight w:val="none"/>
          <w:lang w:val="en-US" w:eastAsia="zh-CN"/>
        </w:rPr>
        <w:t>“启东市自来水厂有限公司”网站</w:t>
      </w:r>
      <w:r>
        <w:rPr>
          <w:rFonts w:ascii="宋体" w:hAnsi="宋体" w:eastAsia="宋体" w:cs="宋体"/>
          <w:color w:val="auto"/>
          <w:spacing w:val="0"/>
          <w:sz w:val="28"/>
          <w:szCs w:val="28"/>
          <w:highlight w:val="none"/>
        </w:rPr>
        <w:t>发布成交公告，公告期限为1个工作日。</w:t>
      </w:r>
    </w:p>
    <w:p w14:paraId="64D152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4</w:t>
      </w:r>
      <w:r>
        <w:rPr>
          <w:rFonts w:ascii="宋体" w:hAnsi="宋体" w:eastAsia="宋体" w:cs="宋体"/>
          <w:color w:val="auto"/>
          <w:spacing w:val="0"/>
          <w:sz w:val="28"/>
          <w:szCs w:val="28"/>
          <w:highlight w:val="none"/>
        </w:rPr>
        <w:t xml:space="preserve"> 若有充分证据证明，成交供应商出现下列情况之一的，一经查实，将被取消成交资格：</w:t>
      </w:r>
    </w:p>
    <w:p w14:paraId="1768E8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（1）提供虚假材料谋取成交的；</w:t>
      </w:r>
    </w:p>
    <w:p w14:paraId="61FCC2E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（2）向采购人、代理机构行贿或者提供其他不正当利益的；</w:t>
      </w:r>
    </w:p>
    <w:p w14:paraId="72BD51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（3）恶意竞争，响应总报价明显低于其自身合理成本且又无法提供 证明的；</w:t>
      </w:r>
    </w:p>
    <w:p w14:paraId="4DB264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（4）属于本文件规定的无效条件，但在评审过程中又未被询价小组 发现的；</w:t>
      </w:r>
    </w:p>
    <w:p w14:paraId="27C50E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（5）与采购人或者其他供应商恶意串通的；</w:t>
      </w:r>
    </w:p>
    <w:p w14:paraId="412D9D7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（6）采取不正当手段诋毁、排挤其他供应商的；</w:t>
      </w:r>
    </w:p>
    <w:p w14:paraId="35B8F9A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（7）如有涉及对采购文件实质性内容的隐瞒、欺诈或违法违规行为 的。</w:t>
      </w:r>
    </w:p>
    <w:p w14:paraId="5F4885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 xml:space="preserve"> 有下列情形之一的，视为响应供应商串通响应，响应无效：</w:t>
      </w:r>
    </w:p>
    <w:p w14:paraId="72ECA28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（1）不同响应供应商的响应文件由同一单位或者个人编制；</w:t>
      </w:r>
    </w:p>
    <w:p w14:paraId="6895245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（2）不同响应供应商委托同一单位或者个人办理响应事宜；</w:t>
      </w:r>
    </w:p>
    <w:p w14:paraId="1703DD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（3）不同响应供应商的响应文件载明的项目管理成员或者联系人员 为同一人；</w:t>
      </w:r>
    </w:p>
    <w:p w14:paraId="5F10314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（4）不同响应供应商的响应文件异常一致或者响应报价呈规律性差 异；</w:t>
      </w:r>
    </w:p>
    <w:p w14:paraId="6E762E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（5）不同响应供应商的响应文件相互混装。</w:t>
      </w:r>
    </w:p>
    <w:p w14:paraId="15C9FA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2.质疑处理</w:t>
      </w:r>
    </w:p>
    <w:p w14:paraId="4F4CB1B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2.1 提出质疑的供应商应当是参与所质疑项目采购活动的供应商。潜在供应商依法获取其可质疑的采购文件的，可以对采购文件提出质疑。</w:t>
      </w:r>
    </w:p>
    <w:p w14:paraId="7E9F774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供应商认为采购文件、采购过程和采购结果使自己的权益受到损害的，可以在知道或应知其权益受到损害之日起七个工作日内，以书面形式向采购人或代理机构提出质疑。上述应知其权益受到损害之日，是指：</w:t>
      </w:r>
    </w:p>
    <w:p w14:paraId="32A155D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（1）对可以质疑的采购文件提出质疑的，为收到采购文件之日或者 采购文件公告期限届满之日；</w:t>
      </w:r>
    </w:p>
    <w:p w14:paraId="07E5E18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（2）对采购过程提出质疑的，为各采购程序环节结束之日；</w:t>
      </w:r>
    </w:p>
    <w:p w14:paraId="6C7A066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（3）对中标或者成交结果提出质疑的，为中标或者成交结果公告期 限届满之日。</w:t>
      </w:r>
    </w:p>
    <w:p w14:paraId="7FBA68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供应商应当在法定质疑期内一次性提出针对同一采购程序环节的质疑。</w:t>
      </w:r>
    </w:p>
    <w:p w14:paraId="20DDBCF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2.3 质疑函必须按照本采购文件中《质疑函范本》（附件 12）要求 的格式和内容进行填写。供应商如组成联合体参加响应，则《质疑函范 本》中要求签字、盖章、加盖公章之处，联合体各方均须按要求签字、 盖章、加盖公章。</w:t>
      </w:r>
    </w:p>
    <w:p w14:paraId="6E2D771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2.4 对采购方式、采购文件中项目需求、供应商资格条件等应当由采购人答复的质疑，请向采购人提出，由采购人负责答复。为方便供应商提起质疑，供应商向采购人以书面形式提交质疑函。</w:t>
      </w:r>
    </w:p>
    <w:p w14:paraId="2526C7D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采购人质疑接收人及联系方式，见采购文件第一部分。</w:t>
      </w:r>
    </w:p>
    <w:p w14:paraId="614C10D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2.5 以下情形的质疑不予受理</w:t>
      </w:r>
    </w:p>
    <w:p w14:paraId="14AAD27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36" w:firstLineChars="200"/>
        <w:jc w:val="both"/>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（1）内容不符合《政府采购质疑和投诉办法》第十二条规定的质疑。</w:t>
      </w:r>
    </w:p>
    <w:p w14:paraId="4EAB598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（2）超出政府采购法定期限的质疑。</w:t>
      </w:r>
    </w:p>
    <w:p w14:paraId="49220E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（3）未参加响应活动的供应商或在响应活动中自身权益未受到损害 的供应商所提出的质疑。</w:t>
      </w:r>
    </w:p>
    <w:p w14:paraId="3EEB9FC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（4）供应商组成联合体参加响应，联合体中任何一方或多方未按要 求签字、盖章、加盖公章的质疑。</w:t>
      </w:r>
    </w:p>
    <w:p w14:paraId="058E06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2.6 供应商提出书面质疑必须有理、有据，不得捏造事实、提供虚假材料进行恶意质疑。否则， 一经查实，采购人及采购代理有权依据政府采购的有关规定，报请政府采购监管部门对该供应商进行相应的行政处罚和记录该供应商的失信信息。</w:t>
      </w:r>
    </w:p>
    <w:p w14:paraId="759665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3.成交通知书</w:t>
      </w:r>
    </w:p>
    <w:p w14:paraId="6614A2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公告成交结果的同时，采购人向成交供应商发放成交通知书。</w:t>
      </w:r>
    </w:p>
    <w:p w14:paraId="3257396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Theme="minorEastAsia" w:hAnsiTheme="minorEastAsia" w:eastAsiaTheme="minorEastAsia"/>
          <w:b/>
          <w:color w:val="auto"/>
          <w:sz w:val="28"/>
          <w:szCs w:val="28"/>
          <w:highlight w:val="none"/>
        </w:rPr>
      </w:pPr>
      <w:r>
        <w:rPr>
          <w:rFonts w:ascii="宋体" w:hAnsi="宋体" w:eastAsia="宋体" w:cs="宋体"/>
          <w:color w:val="auto"/>
          <w:spacing w:val="0"/>
          <w:sz w:val="28"/>
          <w:szCs w:val="28"/>
          <w:highlight w:val="none"/>
        </w:rPr>
        <w:t>成交通知书发出后，采购人不得违法改变成交结果，成交供应商无正当理由不得放弃成交。</w:t>
      </w:r>
    </w:p>
    <w:p w14:paraId="7E2103D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七、授予合同</w:t>
      </w:r>
    </w:p>
    <w:p w14:paraId="24814EB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1.签订合同</w:t>
      </w:r>
    </w:p>
    <w:p w14:paraId="04DA0B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成交供应商应当在成交通知书发出之日起三十日内，按照采购文件确定的事项与采购人签订采购合同。</w:t>
      </w:r>
    </w:p>
    <w:p w14:paraId="30B64C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采购文件、成交供应商的响应文件及采购过程中有关澄清、承诺 文件均应作为合同附件。</w:t>
      </w:r>
    </w:p>
    <w:p w14:paraId="5B5EF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1.3 签订合同后，成交供应商不得将货物及其他相关服务进行转包。 未经采购人同意，成交供应商也不得随意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 承担相应赔偿责任。</w:t>
      </w:r>
    </w:p>
    <w:p w14:paraId="28DB3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2.货物和服务的追加、减少和添购</w:t>
      </w:r>
    </w:p>
    <w:p w14:paraId="765205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采购合同履行中，采购人需追加与合同标的相同的货物和服务的，在不改变合同其他条款的前提下，可以与成交供应商协商签订补充合同，但所有补充合同的采购金额不超过原合同金额10%。</w:t>
      </w:r>
    </w:p>
    <w:p w14:paraId="77FBAC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采购结束后，采购人若由于各种客观原因，必须对采购项目所牵 涉的货物和服务进行适当的减少时，在双方协商一致的前提下，可以按照 询价采购时的价格水平做相应的调减，并据此签订补充合同。</w:t>
      </w:r>
    </w:p>
    <w:p w14:paraId="0C7A78F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八、其他说明</w:t>
      </w:r>
    </w:p>
    <w:p w14:paraId="18F2182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1.法定代表人为同一个人的两个及两个以上法人，母公司、全资子公 司及其控股公司，只能有一家单位参加本项目的响应。</w:t>
      </w:r>
    </w:p>
    <w:p w14:paraId="7BABEC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2.采购人和询价小组不向未成交的响应供应商解释未成交原因，也不 公布评审过程中的相关细节。</w:t>
      </w:r>
    </w:p>
    <w:p w14:paraId="3433F5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rPr>
          <w:rFonts w:ascii="宋体" w:hAnsi="宋体" w:eastAsia="宋体" w:cs="宋体"/>
          <w:b/>
          <w:bCs/>
          <w:color w:val="auto"/>
          <w:spacing w:val="0"/>
          <w:sz w:val="28"/>
          <w:szCs w:val="28"/>
          <w:highlight w:val="none"/>
        </w:rPr>
        <w:sectPr>
          <w:footerReference r:id="rId10" w:type="default"/>
          <w:pgSz w:w="11907" w:h="16839"/>
          <w:pgMar w:top="1431" w:right="1419" w:bottom="1434" w:left="1596" w:header="0" w:footer="988" w:gutter="0"/>
          <w:pgNumType w:fmt="decimal"/>
          <w:cols w:space="720" w:num="1"/>
        </w:sectPr>
      </w:pPr>
      <w:r>
        <w:rPr>
          <w:rFonts w:hint="eastAsia" w:ascii="宋体" w:hAnsi="宋体" w:eastAsia="宋体" w:cs="宋体"/>
          <w:b/>
          <w:bCs/>
          <w:color w:val="auto"/>
          <w:spacing w:val="0"/>
          <w:sz w:val="28"/>
          <w:szCs w:val="28"/>
          <w:highlight w:val="none"/>
          <w:lang w:val="en-US" w:eastAsia="zh-CN"/>
        </w:rPr>
        <w:t>3.</w:t>
      </w:r>
      <w:r>
        <w:rPr>
          <w:rFonts w:hint="eastAsia" w:ascii="宋体" w:hAnsi="宋体" w:eastAsia="宋体" w:cs="宋体"/>
          <w:b/>
          <w:bCs/>
          <w:color w:val="auto"/>
          <w:spacing w:val="0"/>
          <w:sz w:val="28"/>
          <w:szCs w:val="28"/>
          <w:highlight w:val="none"/>
        </w:rPr>
        <w:t>已被列入启东城投集团有限公司供应商不良信用库的单位不得参与启东城投集团有限公司及下属子公司任何项目投标。</w:t>
      </w:r>
    </w:p>
    <w:p w14:paraId="405938A3">
      <w:pPr>
        <w:spacing w:before="99" w:line="220" w:lineRule="auto"/>
        <w:ind w:left="2834"/>
        <w:outlineLvl w:val="2"/>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rPr>
        <w:t>第三部分  项目需求</w:t>
      </w:r>
    </w:p>
    <w:p w14:paraId="578D4BF4">
      <w:pPr>
        <w:spacing w:before="141" w:line="325" w:lineRule="auto"/>
        <w:ind w:right="63" w:firstLine="576"/>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响应供应商在制作响应文件时仔细研究项目需求说明。项目需求包括</w:t>
      </w:r>
      <w:r>
        <w:rPr>
          <w:rFonts w:ascii="宋体" w:hAnsi="宋体" w:eastAsia="宋体" w:cs="宋体"/>
          <w:color w:val="auto"/>
          <w:spacing w:val="7"/>
          <w:sz w:val="28"/>
          <w:szCs w:val="28"/>
          <w:highlight w:val="none"/>
        </w:rPr>
        <w:t xml:space="preserve"> </w:t>
      </w:r>
      <w:r>
        <w:rPr>
          <w:rFonts w:ascii="宋体" w:hAnsi="宋体" w:eastAsia="宋体" w:cs="宋体"/>
          <w:b/>
          <w:bCs/>
          <w:color w:val="auto"/>
          <w:spacing w:val="-1"/>
          <w:sz w:val="28"/>
          <w:szCs w:val="28"/>
          <w:highlight w:val="none"/>
        </w:rPr>
        <w:t>技术要求和商务要求:技术要求是指对采购标的功能和质量要求，包括性</w:t>
      </w:r>
      <w:r>
        <w:rPr>
          <w:rFonts w:ascii="宋体" w:hAnsi="宋体" w:eastAsia="宋体" w:cs="宋体"/>
          <w:color w:val="auto"/>
          <w:spacing w:val="11"/>
          <w:sz w:val="28"/>
          <w:szCs w:val="28"/>
          <w:highlight w:val="none"/>
        </w:rPr>
        <w:t xml:space="preserve"> </w:t>
      </w:r>
      <w:r>
        <w:rPr>
          <w:rFonts w:ascii="宋体" w:hAnsi="宋体" w:eastAsia="宋体" w:cs="宋体"/>
          <w:b/>
          <w:bCs/>
          <w:color w:val="auto"/>
          <w:spacing w:val="-11"/>
          <w:sz w:val="28"/>
          <w:szCs w:val="28"/>
          <w:highlight w:val="none"/>
        </w:rPr>
        <w:t>能、材料、结构、外观、安全，或者服务内容和标准等</w:t>
      </w:r>
      <w:r>
        <w:rPr>
          <w:rFonts w:ascii="宋体" w:hAnsi="宋体" w:eastAsia="宋体" w:cs="宋体"/>
          <w:color w:val="auto"/>
          <w:spacing w:val="-81"/>
          <w:sz w:val="28"/>
          <w:szCs w:val="28"/>
          <w:highlight w:val="none"/>
        </w:rPr>
        <w:t xml:space="preserve"> </w:t>
      </w:r>
      <w:r>
        <w:rPr>
          <w:rFonts w:ascii="宋体" w:hAnsi="宋体" w:eastAsia="宋体" w:cs="宋体"/>
          <w:b/>
          <w:bCs/>
          <w:color w:val="auto"/>
          <w:spacing w:val="-11"/>
          <w:sz w:val="28"/>
          <w:szCs w:val="28"/>
          <w:highlight w:val="none"/>
        </w:rPr>
        <w:t>;商务要求是指取得</w:t>
      </w:r>
      <w:r>
        <w:rPr>
          <w:rFonts w:ascii="宋体" w:hAnsi="宋体" w:eastAsia="宋体" w:cs="宋体"/>
          <w:color w:val="auto"/>
          <w:sz w:val="28"/>
          <w:szCs w:val="28"/>
          <w:highlight w:val="none"/>
        </w:rPr>
        <w:t xml:space="preserve"> </w:t>
      </w:r>
      <w:r>
        <w:rPr>
          <w:rFonts w:ascii="宋体" w:hAnsi="宋体" w:eastAsia="宋体" w:cs="宋体"/>
          <w:b/>
          <w:bCs/>
          <w:color w:val="auto"/>
          <w:spacing w:val="-6"/>
          <w:sz w:val="28"/>
          <w:szCs w:val="28"/>
          <w:highlight w:val="none"/>
        </w:rPr>
        <w:t>采购标的的时间、地点、财务和服务要求，包括交付（实施）的时间（期</w:t>
      </w:r>
      <w:r>
        <w:rPr>
          <w:rFonts w:ascii="宋体" w:hAnsi="宋体" w:eastAsia="宋体" w:cs="宋体"/>
          <w:color w:val="auto"/>
          <w:spacing w:val="12"/>
          <w:sz w:val="28"/>
          <w:szCs w:val="28"/>
          <w:highlight w:val="none"/>
        </w:rPr>
        <w:t xml:space="preserve"> </w:t>
      </w:r>
      <w:r>
        <w:rPr>
          <w:rFonts w:ascii="宋体" w:hAnsi="宋体" w:eastAsia="宋体" w:cs="宋体"/>
          <w:b/>
          <w:bCs/>
          <w:color w:val="auto"/>
          <w:spacing w:val="-10"/>
          <w:sz w:val="28"/>
          <w:szCs w:val="28"/>
          <w:highlight w:val="none"/>
        </w:rPr>
        <w:t>限）和地点（范围</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付款条件（进度和方法</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包装和运输，售后服务，</w:t>
      </w:r>
      <w:r>
        <w:rPr>
          <w:rFonts w:ascii="宋体" w:hAnsi="宋体" w:eastAsia="宋体" w:cs="宋体"/>
          <w:color w:val="auto"/>
          <w:spacing w:val="2"/>
          <w:sz w:val="28"/>
          <w:szCs w:val="28"/>
          <w:highlight w:val="none"/>
        </w:rPr>
        <w:t xml:space="preserve"> </w:t>
      </w:r>
      <w:r>
        <w:rPr>
          <w:rFonts w:ascii="宋体" w:hAnsi="宋体" w:eastAsia="宋体" w:cs="宋体"/>
          <w:b/>
          <w:bCs/>
          <w:color w:val="auto"/>
          <w:spacing w:val="-5"/>
          <w:sz w:val="28"/>
          <w:szCs w:val="28"/>
          <w:highlight w:val="none"/>
        </w:rPr>
        <w:t>保险等。</w:t>
      </w:r>
    </w:p>
    <w:p w14:paraId="563835C1">
      <w:pPr>
        <w:spacing w:before="40" w:line="323" w:lineRule="auto"/>
        <w:ind w:left="1" w:right="64" w:firstLine="575"/>
        <w:jc w:val="both"/>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响应供应商不能简单照搬照抄采购文件项目需求说明中的技术、商务</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要求，必须作实事求是的响应。如响应供应商提供的货物和服务同</w:t>
      </w:r>
      <w:r>
        <w:rPr>
          <w:rFonts w:ascii="宋体" w:hAnsi="宋体" w:eastAsia="宋体" w:cs="宋体"/>
          <w:b/>
          <w:bCs/>
          <w:color w:val="auto"/>
          <w:spacing w:val="-6"/>
          <w:sz w:val="28"/>
          <w:szCs w:val="28"/>
          <w:highlight w:val="none"/>
        </w:rPr>
        <w:t>采购人</w:t>
      </w:r>
      <w:r>
        <w:rPr>
          <w:rFonts w:ascii="宋体" w:hAnsi="宋体" w:eastAsia="宋体" w:cs="宋体"/>
          <w:color w:val="auto"/>
          <w:sz w:val="28"/>
          <w:szCs w:val="28"/>
          <w:highlight w:val="none"/>
        </w:rPr>
        <w:t xml:space="preserve"> </w:t>
      </w:r>
      <w:r>
        <w:rPr>
          <w:rFonts w:ascii="宋体" w:hAnsi="宋体" w:eastAsia="宋体" w:cs="宋体"/>
          <w:b/>
          <w:bCs/>
          <w:color w:val="auto"/>
          <w:spacing w:val="-5"/>
          <w:sz w:val="28"/>
          <w:szCs w:val="28"/>
          <w:highlight w:val="none"/>
        </w:rPr>
        <w:t>提出的项目需求说明中的技术、商务要求不同的，必须在《商</w:t>
      </w:r>
      <w:r>
        <w:rPr>
          <w:rFonts w:ascii="宋体" w:hAnsi="宋体" w:eastAsia="宋体" w:cs="宋体"/>
          <w:b/>
          <w:bCs/>
          <w:color w:val="auto"/>
          <w:spacing w:val="-6"/>
          <w:sz w:val="28"/>
          <w:szCs w:val="28"/>
          <w:highlight w:val="none"/>
        </w:rPr>
        <w:t>务部分正负</w:t>
      </w:r>
      <w:r>
        <w:rPr>
          <w:rFonts w:ascii="宋体" w:hAnsi="宋体" w:eastAsia="宋体" w:cs="宋体"/>
          <w:color w:val="auto"/>
          <w:sz w:val="28"/>
          <w:szCs w:val="28"/>
          <w:highlight w:val="none"/>
        </w:rPr>
        <w:t xml:space="preserve"> </w:t>
      </w:r>
      <w:r>
        <w:rPr>
          <w:rFonts w:ascii="宋体" w:hAnsi="宋体" w:eastAsia="宋体" w:cs="宋体"/>
          <w:b/>
          <w:bCs/>
          <w:color w:val="auto"/>
          <w:spacing w:val="-3"/>
          <w:sz w:val="28"/>
          <w:szCs w:val="28"/>
          <w:highlight w:val="none"/>
        </w:rPr>
        <w:t>偏离表》和《技术部分正负偏离表》上明示。</w:t>
      </w:r>
    </w:p>
    <w:p w14:paraId="4E86A44E">
      <w:pPr>
        <w:spacing w:before="42" w:line="220" w:lineRule="auto"/>
        <w:ind w:left="563"/>
        <w:rPr>
          <w:rFonts w:ascii="宋体" w:hAnsi="宋体" w:eastAsia="宋体" w:cs="宋体"/>
          <w:color w:val="auto"/>
          <w:sz w:val="28"/>
          <w:szCs w:val="28"/>
          <w:highlight w:val="none"/>
        </w:rPr>
      </w:pPr>
      <w:r>
        <w:rPr>
          <w:rFonts w:ascii="宋体" w:hAnsi="宋体" w:eastAsia="宋体" w:cs="宋体"/>
          <w:b/>
          <w:bCs/>
          <w:color w:val="auto"/>
          <w:spacing w:val="-12"/>
          <w:sz w:val="28"/>
          <w:szCs w:val="28"/>
          <w:highlight w:val="none"/>
        </w:rPr>
        <w:t>其内容包含：</w:t>
      </w:r>
    </w:p>
    <w:p w14:paraId="2ED6F115">
      <w:pPr>
        <w:numPr>
          <w:ilvl w:val="0"/>
          <w:numId w:val="1"/>
        </w:numPr>
        <w:spacing w:before="166" w:line="219" w:lineRule="auto"/>
        <w:ind w:left="567"/>
        <w:outlineLvl w:val="3"/>
        <w:rPr>
          <w:rFonts w:ascii="宋体" w:hAnsi="宋体" w:eastAsia="宋体" w:cs="宋体"/>
          <w:b/>
          <w:bCs/>
          <w:color w:val="auto"/>
          <w:spacing w:val="-10"/>
          <w:sz w:val="28"/>
          <w:szCs w:val="28"/>
          <w:highlight w:val="none"/>
        </w:rPr>
      </w:pPr>
      <w:r>
        <w:rPr>
          <w:rFonts w:ascii="宋体" w:hAnsi="宋体" w:eastAsia="宋体" w:cs="宋体"/>
          <w:b/>
          <w:bCs/>
          <w:color w:val="auto"/>
          <w:spacing w:val="-10"/>
          <w:sz w:val="28"/>
          <w:szCs w:val="28"/>
          <w:highlight w:val="none"/>
        </w:rPr>
        <w:t>采购货物清单：</w:t>
      </w:r>
    </w:p>
    <w:p w14:paraId="7F83B1E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1、启东市自来水厂有限公司消防栓</w:t>
      </w:r>
      <w:r>
        <w:rPr>
          <w:rFonts w:hint="default" w:ascii="宋体" w:hAnsi="宋体" w:eastAsia="宋体" w:cs="宋体"/>
          <w:color w:val="auto"/>
          <w:sz w:val="28"/>
          <w:szCs w:val="28"/>
          <w:highlight w:val="none"/>
          <w:lang w:val="en-US" w:eastAsia="zh-CN"/>
        </w:rPr>
        <w:t>2025</w:t>
      </w:r>
      <w:r>
        <w:rPr>
          <w:rFonts w:hint="eastAsia" w:ascii="宋体" w:hAnsi="宋体" w:eastAsia="宋体" w:cs="宋体"/>
          <w:color w:val="auto"/>
          <w:sz w:val="28"/>
          <w:szCs w:val="28"/>
          <w:highlight w:val="none"/>
          <w:lang w:val="en-US" w:eastAsia="zh-CN"/>
        </w:rPr>
        <w:t>年</w:t>
      </w:r>
      <w:r>
        <w:rPr>
          <w:rFonts w:hint="default"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月</w:t>
      </w:r>
      <w:r>
        <w:rPr>
          <w:rFonts w:hint="default"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lang w:val="en-US" w:eastAsia="zh-CN"/>
        </w:rPr>
        <w:t>日</w:t>
      </w:r>
      <w:r>
        <w:rPr>
          <w:rFonts w:hint="default" w:ascii="宋体" w:hAnsi="宋体" w:eastAsia="宋体" w:cs="宋体"/>
          <w:color w:val="auto"/>
          <w:sz w:val="28"/>
          <w:szCs w:val="28"/>
          <w:highlight w:val="none"/>
          <w:lang w:val="en-US" w:eastAsia="zh-CN"/>
        </w:rPr>
        <w:t>-2026</w:t>
      </w:r>
      <w:r>
        <w:rPr>
          <w:rFonts w:hint="eastAsia" w:ascii="宋体" w:hAnsi="宋体" w:eastAsia="宋体" w:cs="宋体"/>
          <w:color w:val="auto"/>
          <w:sz w:val="28"/>
          <w:szCs w:val="28"/>
          <w:highlight w:val="none"/>
          <w:lang w:val="en-US" w:eastAsia="zh-CN"/>
        </w:rPr>
        <w:t>年</w:t>
      </w:r>
      <w:r>
        <w:rPr>
          <w:rFonts w:hint="default"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月</w:t>
      </w:r>
      <w:r>
        <w:rPr>
          <w:rFonts w:hint="default"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lang w:val="en-US" w:eastAsia="zh-CN"/>
        </w:rPr>
        <w:t>日采购项目的最高限价为大写人民币：肆拾肆万元整（小写人民币：</w:t>
      </w:r>
      <w:r>
        <w:rPr>
          <w:rFonts w:hint="default" w:ascii="宋体" w:hAnsi="宋体" w:eastAsia="宋体" w:cs="宋体"/>
          <w:color w:val="auto"/>
          <w:sz w:val="28"/>
          <w:szCs w:val="28"/>
          <w:highlight w:val="none"/>
          <w:lang w:val="en-US" w:eastAsia="zh-CN"/>
        </w:rPr>
        <w:t>440000</w:t>
      </w:r>
      <w:r>
        <w:rPr>
          <w:rFonts w:hint="eastAsia" w:ascii="宋体" w:hAnsi="宋体" w:eastAsia="宋体" w:cs="宋体"/>
          <w:color w:val="auto"/>
          <w:sz w:val="28"/>
          <w:szCs w:val="28"/>
          <w:highlight w:val="none"/>
          <w:lang w:val="en-US" w:eastAsia="zh-CN"/>
        </w:rPr>
        <w:t>元），投标报价大于总价最高限价或分项综合单价限价的均为无效报价，资金为自筹。</w:t>
      </w:r>
    </w:p>
    <w:tbl>
      <w:tblPr>
        <w:tblStyle w:val="8"/>
        <w:tblW w:w="50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1275"/>
        <w:gridCol w:w="2077"/>
        <w:gridCol w:w="915"/>
        <w:gridCol w:w="953"/>
        <w:gridCol w:w="1852"/>
        <w:gridCol w:w="1283"/>
      </w:tblGrid>
      <w:tr w14:paraId="03848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79A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序号</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3EADD2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材料</w:t>
            </w:r>
          </w:p>
          <w:p w14:paraId="796873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名称</w:t>
            </w:r>
          </w:p>
        </w:tc>
        <w:tc>
          <w:tcPr>
            <w:tcW w:w="2077" w:type="dxa"/>
            <w:tcBorders>
              <w:top w:val="single" w:color="000000" w:sz="4" w:space="0"/>
              <w:left w:val="nil"/>
              <w:bottom w:val="single" w:color="000000" w:sz="4" w:space="0"/>
              <w:right w:val="single" w:color="000000" w:sz="4" w:space="0"/>
            </w:tcBorders>
            <w:shd w:val="clear" w:color="auto" w:fill="auto"/>
            <w:vAlign w:val="center"/>
          </w:tcPr>
          <w:p w14:paraId="5981C23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规格</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型号</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90ED4F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单位</w:t>
            </w:r>
          </w:p>
        </w:tc>
        <w:tc>
          <w:tcPr>
            <w:tcW w:w="953" w:type="dxa"/>
            <w:tcBorders>
              <w:top w:val="single" w:color="000000" w:sz="4" w:space="0"/>
              <w:left w:val="nil"/>
              <w:bottom w:val="single" w:color="000000" w:sz="4" w:space="0"/>
              <w:right w:val="single" w:color="000000" w:sz="4" w:space="0"/>
            </w:tcBorders>
            <w:shd w:val="clear" w:color="auto" w:fill="auto"/>
            <w:vAlign w:val="center"/>
          </w:tcPr>
          <w:p w14:paraId="60D7ACF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预估</w:t>
            </w:r>
          </w:p>
          <w:p w14:paraId="221A53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数量</w:t>
            </w:r>
          </w:p>
        </w:tc>
        <w:tc>
          <w:tcPr>
            <w:tcW w:w="1852" w:type="dxa"/>
            <w:tcBorders>
              <w:top w:val="single" w:color="000000" w:sz="4" w:space="0"/>
              <w:left w:val="nil"/>
              <w:bottom w:val="single" w:color="000000" w:sz="4" w:space="0"/>
              <w:right w:val="single" w:color="000000" w:sz="4" w:space="0"/>
            </w:tcBorders>
            <w:shd w:val="clear" w:color="auto" w:fill="auto"/>
            <w:vAlign w:val="center"/>
          </w:tcPr>
          <w:p w14:paraId="643473E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分项综合单价限价</w:t>
            </w:r>
          </w:p>
          <w:p w14:paraId="2C2DD7D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（元）</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073CDFB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初定总价限价（元）</w:t>
            </w:r>
          </w:p>
        </w:tc>
      </w:tr>
      <w:tr w14:paraId="3529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3FF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6F6AD6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消防栓</w:t>
            </w:r>
          </w:p>
        </w:tc>
        <w:tc>
          <w:tcPr>
            <w:tcW w:w="2077" w:type="dxa"/>
            <w:tcBorders>
              <w:top w:val="single" w:color="000000" w:sz="4" w:space="0"/>
              <w:left w:val="nil"/>
              <w:bottom w:val="single" w:color="000000" w:sz="4" w:space="0"/>
              <w:right w:val="single" w:color="000000" w:sz="4" w:space="0"/>
            </w:tcBorders>
            <w:shd w:val="clear" w:color="auto" w:fill="auto"/>
            <w:noWrap/>
            <w:vAlign w:val="center"/>
          </w:tcPr>
          <w:p w14:paraId="6024992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DN100*1.6MPa</w:t>
            </w:r>
          </w:p>
        </w:tc>
        <w:tc>
          <w:tcPr>
            <w:tcW w:w="915" w:type="dxa"/>
            <w:tcBorders>
              <w:top w:val="single" w:color="000000" w:sz="4" w:space="0"/>
              <w:left w:val="nil"/>
              <w:bottom w:val="single" w:color="000000" w:sz="4" w:space="0"/>
              <w:right w:val="single" w:color="000000" w:sz="4" w:space="0"/>
            </w:tcBorders>
            <w:shd w:val="clear" w:color="auto" w:fill="auto"/>
            <w:noWrap/>
            <w:vAlign w:val="center"/>
          </w:tcPr>
          <w:p w14:paraId="2F88124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套</w:t>
            </w:r>
          </w:p>
        </w:tc>
        <w:tc>
          <w:tcPr>
            <w:tcW w:w="953" w:type="dxa"/>
            <w:tcBorders>
              <w:top w:val="single" w:color="000000" w:sz="4" w:space="0"/>
              <w:left w:val="nil"/>
              <w:bottom w:val="single" w:color="000000" w:sz="4" w:space="0"/>
              <w:right w:val="single" w:color="000000" w:sz="4" w:space="0"/>
            </w:tcBorders>
            <w:shd w:val="clear" w:color="auto" w:fill="auto"/>
            <w:noWrap/>
            <w:vAlign w:val="center"/>
          </w:tcPr>
          <w:p w14:paraId="7E79378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500</w:t>
            </w:r>
          </w:p>
        </w:tc>
        <w:tc>
          <w:tcPr>
            <w:tcW w:w="1852" w:type="dxa"/>
            <w:tcBorders>
              <w:top w:val="single" w:color="000000" w:sz="4" w:space="0"/>
              <w:left w:val="nil"/>
              <w:bottom w:val="single" w:color="000000" w:sz="4" w:space="0"/>
              <w:right w:val="single" w:color="000000" w:sz="4" w:space="0"/>
            </w:tcBorders>
            <w:shd w:val="clear" w:color="auto" w:fill="auto"/>
            <w:vAlign w:val="center"/>
          </w:tcPr>
          <w:p w14:paraId="31C5F8A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880</w:t>
            </w:r>
          </w:p>
        </w:tc>
        <w:tc>
          <w:tcPr>
            <w:tcW w:w="1283" w:type="dxa"/>
            <w:tcBorders>
              <w:top w:val="single" w:color="000000" w:sz="4" w:space="0"/>
              <w:left w:val="nil"/>
              <w:bottom w:val="single" w:color="000000" w:sz="4" w:space="0"/>
              <w:right w:val="single" w:color="000000" w:sz="4" w:space="0"/>
            </w:tcBorders>
            <w:shd w:val="clear" w:color="auto" w:fill="auto"/>
            <w:noWrap/>
            <w:vAlign w:val="center"/>
          </w:tcPr>
          <w:p w14:paraId="073DCED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440000</w:t>
            </w:r>
          </w:p>
        </w:tc>
      </w:tr>
      <w:tr w14:paraId="0ABA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9241"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14:paraId="6EDA52A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备注：</w:t>
            </w:r>
          </w:p>
          <w:p w14:paraId="7BC7001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、报价含</w:t>
            </w:r>
            <w:r>
              <w:rPr>
                <w:rFonts w:hint="default" w:ascii="宋体" w:hAnsi="宋体" w:eastAsia="宋体" w:cs="宋体"/>
                <w:color w:val="auto"/>
                <w:sz w:val="28"/>
                <w:szCs w:val="28"/>
                <w:highlight w:val="none"/>
                <w:lang w:val="en-US" w:eastAsia="zh-CN"/>
              </w:rPr>
              <w:t>13%</w:t>
            </w:r>
            <w:r>
              <w:rPr>
                <w:rFonts w:hint="eastAsia" w:ascii="宋体" w:hAnsi="宋体" w:eastAsia="宋体" w:cs="宋体"/>
                <w:color w:val="auto"/>
                <w:sz w:val="28"/>
                <w:szCs w:val="28"/>
                <w:highlight w:val="none"/>
                <w:lang w:val="en-US" w:eastAsia="zh-CN"/>
              </w:rPr>
              <w:t>增值税、含运费、含卸货费等全部费用。</w:t>
            </w:r>
          </w:p>
          <w:p w14:paraId="19E8BE8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7D6B51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、各投标人每项的分项综合单价报价与分项最高限价相比的下浮率必须一致，否则，作无效标处理。</w:t>
            </w:r>
          </w:p>
        </w:tc>
      </w:tr>
    </w:tbl>
    <w:p w14:paraId="0236D14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jc w:val="both"/>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2、本次采购项目使用的参考品牌：</w:t>
      </w:r>
      <w:r>
        <w:rPr>
          <w:rFonts w:hint="eastAsia" w:ascii="宋体" w:hAnsi="宋体" w:eastAsia="宋体" w:cs="宋体"/>
          <w:color w:val="auto"/>
          <w:sz w:val="28"/>
          <w:szCs w:val="28"/>
          <w:highlight w:val="none"/>
          <w:lang w:val="en-US" w:eastAsia="zh-CN"/>
        </w:rPr>
        <w:t>欢龙牌（江苏徐州）、清元松牌（江苏徐州）、天威消防牌（江苏无锡）、百安消防牌（福建）、川邛牌（成都），供应商如以参考品牌进行报价的，需提供所投品牌商标证明（若为经销商的，需提供所投品牌的授权委托书及品牌商标证明）；报价供应商如拟投产品不在参考品牌之列的，报价品牌技术参数不得低于参考的品牌且满足本次招标的技术标准及要求，同时报价供应商应当在</w:t>
      </w:r>
      <w:r>
        <w:rPr>
          <w:rFonts w:hint="default" w:ascii="宋体" w:hAnsi="宋体" w:eastAsia="宋体" w:cs="宋体"/>
          <w:color w:val="auto"/>
          <w:sz w:val="28"/>
          <w:szCs w:val="28"/>
          <w:highlight w:val="none"/>
          <w:lang w:val="en-US" w:eastAsia="zh-CN"/>
        </w:rPr>
        <w:t>2025</w:t>
      </w:r>
      <w:r>
        <w:rPr>
          <w:rFonts w:hint="eastAsia" w:ascii="宋体" w:hAnsi="宋体" w:eastAsia="宋体" w:cs="宋体"/>
          <w:color w:val="auto"/>
          <w:sz w:val="28"/>
          <w:szCs w:val="28"/>
          <w:highlight w:val="none"/>
          <w:lang w:val="en-US" w:eastAsia="zh-CN"/>
        </w:rPr>
        <w:t>年04月24日下午</w:t>
      </w:r>
      <w:r>
        <w:rPr>
          <w:rFonts w:hint="default"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lang w:val="en-US" w:eastAsia="zh-CN"/>
        </w:rPr>
        <w:t>点前向采购人提供拟投货物的技术资料及相关证明材料原件，采购人将组织进行评审，符合要求的将以补充通知的形式在相关网站予以公布，未提供或不符合要求的将被视作无效报价。</w:t>
      </w:r>
    </w:p>
    <w:p w14:paraId="22CD8C6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42" w:firstLineChars="200"/>
        <w:textAlignment w:val="baseline"/>
        <w:rPr>
          <w:rFonts w:hint="default"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二、材料标准及要求：</w:t>
      </w:r>
    </w:p>
    <w:p w14:paraId="3B6C312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（一）货物技术规格</w:t>
      </w:r>
    </w:p>
    <w:p w14:paraId="6E0AC97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SS100/65-1.6</w:t>
      </w:r>
      <w:r>
        <w:rPr>
          <w:rFonts w:hint="eastAsia" w:ascii="宋体" w:hAnsi="宋体" w:eastAsia="宋体" w:cs="宋体"/>
          <w:color w:val="auto"/>
          <w:sz w:val="28"/>
          <w:szCs w:val="28"/>
          <w:highlight w:val="none"/>
          <w:lang w:val="en-US" w:eastAsia="zh-CN"/>
        </w:rPr>
        <w:t>室外地上式消火栓供水设施，上部露出地面，标志明显，使用方便。进水口连接形式采用法兰式，大出水口采用通用</w:t>
      </w:r>
      <w:r>
        <w:rPr>
          <w:rFonts w:hint="default" w:ascii="宋体" w:hAnsi="宋体" w:eastAsia="宋体" w:cs="宋体"/>
          <w:color w:val="auto"/>
          <w:sz w:val="28"/>
          <w:szCs w:val="28"/>
          <w:highlight w:val="none"/>
          <w:lang w:val="en-US" w:eastAsia="zh-CN"/>
        </w:rPr>
        <w:t>100</w:t>
      </w:r>
      <w:r>
        <w:rPr>
          <w:rFonts w:hint="eastAsia" w:ascii="宋体" w:hAnsi="宋体" w:eastAsia="宋体" w:cs="宋体"/>
          <w:color w:val="auto"/>
          <w:sz w:val="28"/>
          <w:szCs w:val="28"/>
          <w:highlight w:val="none"/>
          <w:lang w:val="en-US" w:eastAsia="zh-CN"/>
        </w:rPr>
        <w:t>毫米口径外螺纹式，小出水口采用通用</w:t>
      </w:r>
      <w:r>
        <w:rPr>
          <w:rFonts w:hint="default" w:ascii="宋体" w:hAnsi="宋体" w:eastAsia="宋体" w:cs="宋体"/>
          <w:color w:val="auto"/>
          <w:sz w:val="28"/>
          <w:szCs w:val="28"/>
          <w:highlight w:val="none"/>
          <w:lang w:val="en-US" w:eastAsia="zh-CN"/>
        </w:rPr>
        <w:t>65mm</w:t>
      </w:r>
      <w:r>
        <w:rPr>
          <w:rFonts w:hint="eastAsia" w:ascii="宋体" w:hAnsi="宋体" w:eastAsia="宋体" w:cs="宋体"/>
          <w:color w:val="auto"/>
          <w:sz w:val="28"/>
          <w:szCs w:val="28"/>
          <w:highlight w:val="none"/>
          <w:lang w:val="en-US" w:eastAsia="zh-CN"/>
        </w:rPr>
        <w:t>口径内扣式</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中节法兰</w:t>
      </w:r>
      <w:r>
        <w:rPr>
          <w:rFonts w:hint="default" w:ascii="宋体" w:hAnsi="宋体" w:eastAsia="宋体" w:cs="宋体"/>
          <w:color w:val="auto"/>
          <w:sz w:val="28"/>
          <w:szCs w:val="28"/>
          <w:highlight w:val="none"/>
          <w:lang w:val="en-US" w:eastAsia="zh-CN"/>
        </w:rPr>
        <w:t>20mm,</w:t>
      </w:r>
      <w:r>
        <w:rPr>
          <w:rFonts w:hint="eastAsia" w:ascii="宋体" w:hAnsi="宋体" w:eastAsia="宋体" w:cs="宋体"/>
          <w:color w:val="auto"/>
          <w:sz w:val="28"/>
          <w:szCs w:val="28"/>
          <w:highlight w:val="none"/>
          <w:lang w:val="en-US" w:eastAsia="zh-CN"/>
        </w:rPr>
        <w:t>弯管法兰</w:t>
      </w:r>
      <w:r>
        <w:rPr>
          <w:rFonts w:hint="default" w:ascii="宋体" w:hAnsi="宋体" w:eastAsia="宋体" w:cs="宋体"/>
          <w:color w:val="auto"/>
          <w:sz w:val="28"/>
          <w:szCs w:val="28"/>
          <w:highlight w:val="none"/>
          <w:lang w:val="en-US" w:eastAsia="zh-CN"/>
        </w:rPr>
        <w:t>18mm</w:t>
      </w:r>
      <w:r>
        <w:rPr>
          <w:rFonts w:hint="eastAsia" w:ascii="宋体" w:hAnsi="宋体" w:eastAsia="宋体" w:cs="宋体"/>
          <w:color w:val="auto"/>
          <w:sz w:val="28"/>
          <w:szCs w:val="28"/>
          <w:highlight w:val="none"/>
          <w:lang w:val="en-US" w:eastAsia="zh-CN"/>
        </w:rPr>
        <w:t>。</w:t>
      </w:r>
    </w:p>
    <w:p w14:paraId="56439DC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lang w:val="en-US" w:eastAsia="zh-CN"/>
        </w:rPr>
        <w:t>、消防栓总高度（长度）大于等于</w:t>
      </w:r>
      <w:r>
        <w:rPr>
          <w:rFonts w:hint="default" w:ascii="宋体" w:hAnsi="宋体" w:eastAsia="宋体" w:cs="宋体"/>
          <w:color w:val="auto"/>
          <w:sz w:val="28"/>
          <w:szCs w:val="28"/>
          <w:highlight w:val="none"/>
          <w:lang w:val="en-US" w:eastAsia="zh-CN"/>
        </w:rPr>
        <w:t>1.2m</w:t>
      </w:r>
      <w:r>
        <w:rPr>
          <w:rFonts w:hint="eastAsia" w:ascii="宋体" w:hAnsi="宋体" w:eastAsia="宋体" w:cs="宋体"/>
          <w:color w:val="auto"/>
          <w:sz w:val="28"/>
          <w:szCs w:val="28"/>
          <w:highlight w:val="none"/>
          <w:lang w:val="en-US" w:eastAsia="zh-CN"/>
        </w:rPr>
        <w:t>；其中红色部分高度不低于</w:t>
      </w:r>
      <w:r>
        <w:rPr>
          <w:rFonts w:hint="default" w:ascii="宋体" w:hAnsi="宋体" w:eastAsia="宋体" w:cs="宋体"/>
          <w:color w:val="auto"/>
          <w:sz w:val="28"/>
          <w:szCs w:val="28"/>
          <w:highlight w:val="none"/>
          <w:lang w:val="en-US" w:eastAsia="zh-CN"/>
        </w:rPr>
        <w:t>70cm</w:t>
      </w:r>
      <w:r>
        <w:rPr>
          <w:rFonts w:hint="eastAsia" w:ascii="宋体" w:hAnsi="宋体" w:eastAsia="宋体" w:cs="宋体"/>
          <w:color w:val="auto"/>
          <w:sz w:val="28"/>
          <w:szCs w:val="28"/>
          <w:highlight w:val="none"/>
          <w:lang w:val="en-US" w:eastAsia="zh-CN"/>
        </w:rPr>
        <w:t>；黑色部分高度不低于</w:t>
      </w:r>
      <w:r>
        <w:rPr>
          <w:rFonts w:hint="default" w:ascii="宋体" w:hAnsi="宋体" w:eastAsia="宋体" w:cs="宋体"/>
          <w:color w:val="auto"/>
          <w:sz w:val="28"/>
          <w:szCs w:val="28"/>
          <w:highlight w:val="none"/>
          <w:lang w:val="en-US" w:eastAsia="zh-CN"/>
        </w:rPr>
        <w:t>50cm</w:t>
      </w:r>
      <w:r>
        <w:rPr>
          <w:rFonts w:hint="eastAsia" w:ascii="宋体" w:hAnsi="宋体" w:eastAsia="宋体" w:cs="宋体"/>
          <w:color w:val="auto"/>
          <w:sz w:val="28"/>
          <w:szCs w:val="28"/>
          <w:highlight w:val="none"/>
          <w:lang w:val="en-US" w:eastAsia="zh-CN"/>
        </w:rPr>
        <w:t>。</w:t>
      </w:r>
    </w:p>
    <w:p w14:paraId="4FC79E5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、完整的消防栓重量不少于：</w:t>
      </w:r>
      <w:r>
        <w:rPr>
          <w:rFonts w:hint="default" w:ascii="宋体" w:hAnsi="宋体" w:eastAsia="宋体" w:cs="宋体"/>
          <w:color w:val="auto"/>
          <w:sz w:val="28"/>
          <w:szCs w:val="28"/>
          <w:highlight w:val="none"/>
          <w:lang w:val="en-US" w:eastAsia="zh-CN"/>
        </w:rPr>
        <w:t>57 kg</w:t>
      </w:r>
      <w:r>
        <w:rPr>
          <w:rFonts w:hint="eastAsia" w:ascii="宋体" w:hAnsi="宋体" w:eastAsia="宋体" w:cs="宋体"/>
          <w:color w:val="auto"/>
          <w:sz w:val="28"/>
          <w:szCs w:val="28"/>
          <w:highlight w:val="none"/>
          <w:lang w:val="en-US" w:eastAsia="zh-CN"/>
        </w:rPr>
        <w:t>。</w:t>
      </w:r>
    </w:p>
    <w:p w14:paraId="6C02567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1.3</w:t>
      </w:r>
      <w:r>
        <w:rPr>
          <w:rFonts w:hint="eastAsia" w:ascii="宋体" w:hAnsi="宋体" w:eastAsia="宋体" w:cs="宋体"/>
          <w:color w:val="auto"/>
          <w:sz w:val="28"/>
          <w:szCs w:val="28"/>
          <w:highlight w:val="none"/>
          <w:lang w:val="en-US" w:eastAsia="zh-CN"/>
        </w:rPr>
        <w:t>、消防栓顶部阀杆盖子</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帽盖</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和栓体材质必须相同。</w:t>
      </w:r>
    </w:p>
    <w:p w14:paraId="722469E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1.4</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DN100*1</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DN65*2</w:t>
      </w:r>
      <w:r>
        <w:rPr>
          <w:rFonts w:hint="eastAsia" w:ascii="宋体" w:hAnsi="宋体" w:eastAsia="宋体" w:cs="宋体"/>
          <w:color w:val="auto"/>
          <w:sz w:val="28"/>
          <w:szCs w:val="28"/>
          <w:highlight w:val="none"/>
          <w:lang w:val="en-US" w:eastAsia="zh-CN"/>
        </w:rPr>
        <w:t>，三个出水口使用的盖子必须与栓体材质相同，盖子链条须具有防盗功能，不能轻易被拉扯掉。</w:t>
      </w:r>
    </w:p>
    <w:p w14:paraId="6DDAE1A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lang w:val="en-US" w:eastAsia="zh-CN"/>
        </w:rPr>
        <w:t>、消防栓红色部分和黑色部分连</w:t>
      </w:r>
      <w:r>
        <w:rPr>
          <w:rFonts w:hint="default" w:ascii="宋体" w:hAnsi="宋体" w:eastAsia="宋体" w:cs="宋体"/>
          <w:color w:val="auto"/>
          <w:sz w:val="28"/>
          <w:szCs w:val="28"/>
          <w:highlight w:val="none"/>
          <w:lang w:val="en-US" w:eastAsia="zh-CN"/>
        </w:rPr>
        <w:t>DN100</w:t>
      </w:r>
      <w:r>
        <w:rPr>
          <w:rFonts w:hint="eastAsia" w:ascii="宋体" w:hAnsi="宋体" w:eastAsia="宋体" w:cs="宋体"/>
          <w:color w:val="auto"/>
          <w:sz w:val="28"/>
          <w:szCs w:val="28"/>
          <w:highlight w:val="none"/>
          <w:lang w:val="en-US" w:eastAsia="zh-CN"/>
        </w:rPr>
        <w:t>法兰</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 xml:space="preserve">法兰内直径达到 </w:t>
      </w:r>
      <w:r>
        <w:rPr>
          <w:rFonts w:hint="default" w:ascii="宋体" w:hAnsi="宋体" w:eastAsia="宋体" w:cs="宋体"/>
          <w:color w:val="auto"/>
          <w:sz w:val="28"/>
          <w:szCs w:val="28"/>
          <w:highlight w:val="none"/>
          <w:lang w:val="en-US" w:eastAsia="zh-CN"/>
        </w:rPr>
        <w:t>10 cm</w:t>
      </w:r>
      <w:r>
        <w:rPr>
          <w:rFonts w:hint="eastAsia" w:ascii="宋体" w:hAnsi="宋体" w:eastAsia="宋体" w:cs="宋体"/>
          <w:color w:val="auto"/>
          <w:sz w:val="28"/>
          <w:szCs w:val="28"/>
          <w:highlight w:val="none"/>
          <w:lang w:val="en-US" w:eastAsia="zh-CN"/>
        </w:rPr>
        <w:t>，外直径达到</w:t>
      </w:r>
      <w:r>
        <w:rPr>
          <w:rFonts w:hint="default" w:ascii="宋体" w:hAnsi="宋体" w:eastAsia="宋体" w:cs="宋体"/>
          <w:color w:val="auto"/>
          <w:sz w:val="28"/>
          <w:szCs w:val="28"/>
          <w:highlight w:val="none"/>
          <w:lang w:val="en-US" w:eastAsia="zh-CN"/>
        </w:rPr>
        <w:t xml:space="preserve"> 21cm</w:t>
      </w:r>
      <w:r>
        <w:rPr>
          <w:rFonts w:hint="eastAsia" w:ascii="宋体" w:hAnsi="宋体" w:eastAsia="宋体" w:cs="宋体"/>
          <w:color w:val="auto"/>
          <w:sz w:val="28"/>
          <w:szCs w:val="28"/>
          <w:highlight w:val="none"/>
          <w:lang w:val="en-US" w:eastAsia="zh-CN"/>
        </w:rPr>
        <w:t>，厚度不少于</w:t>
      </w:r>
      <w:r>
        <w:rPr>
          <w:rFonts w:hint="default" w:ascii="宋体" w:hAnsi="宋体" w:eastAsia="宋体" w:cs="宋体"/>
          <w:color w:val="auto"/>
          <w:sz w:val="28"/>
          <w:szCs w:val="28"/>
          <w:highlight w:val="none"/>
          <w:lang w:val="en-US" w:eastAsia="zh-CN"/>
        </w:rPr>
        <w:t xml:space="preserve"> 1.6 cm</w:t>
      </w:r>
      <w:r>
        <w:rPr>
          <w:rFonts w:hint="eastAsia" w:ascii="宋体" w:hAnsi="宋体" w:eastAsia="宋体" w:cs="宋体"/>
          <w:color w:val="auto"/>
          <w:sz w:val="28"/>
          <w:szCs w:val="28"/>
          <w:highlight w:val="none"/>
          <w:lang w:val="en-US" w:eastAsia="zh-CN"/>
        </w:rPr>
        <w:t>；法兰孔眼为</w:t>
      </w:r>
      <w:r>
        <w:rPr>
          <w:rFonts w:hint="default"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 xml:space="preserve">眼，每二个相临螺孔边与边之间的间隔距离为 </w:t>
      </w:r>
      <w:r>
        <w:rPr>
          <w:rFonts w:hint="default" w:ascii="宋体" w:hAnsi="宋体" w:eastAsia="宋体" w:cs="宋体"/>
          <w:color w:val="auto"/>
          <w:sz w:val="28"/>
          <w:szCs w:val="28"/>
          <w:highlight w:val="none"/>
          <w:lang w:val="en-US" w:eastAsia="zh-CN"/>
        </w:rPr>
        <w:t>5 cm</w:t>
      </w:r>
      <w:r>
        <w:rPr>
          <w:rFonts w:hint="eastAsia" w:ascii="宋体" w:hAnsi="宋体" w:eastAsia="宋体" w:cs="宋体"/>
          <w:color w:val="auto"/>
          <w:sz w:val="28"/>
          <w:szCs w:val="28"/>
          <w:highlight w:val="none"/>
          <w:lang w:val="en-US" w:eastAsia="zh-CN"/>
        </w:rPr>
        <w:t>。</w:t>
      </w:r>
    </w:p>
    <w:p w14:paraId="362F21A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（二）主要零部件基本要求</w:t>
      </w:r>
    </w:p>
    <w:tbl>
      <w:tblPr>
        <w:tblStyle w:val="8"/>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97"/>
        <w:gridCol w:w="4005"/>
        <w:gridCol w:w="3105"/>
      </w:tblGrid>
      <w:tr w14:paraId="10A8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1" w:hRule="atLeast"/>
          <w:jc w:val="center"/>
        </w:trPr>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6F9173A1">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序号</w:t>
            </w:r>
          </w:p>
        </w:tc>
        <w:tc>
          <w:tcPr>
            <w:tcW w:w="4005" w:type="dxa"/>
            <w:tcBorders>
              <w:top w:val="single" w:color="auto" w:sz="4" w:space="0"/>
              <w:left w:val="nil"/>
              <w:bottom w:val="single" w:color="auto" w:sz="4" w:space="0"/>
              <w:right w:val="single" w:color="auto" w:sz="4" w:space="0"/>
            </w:tcBorders>
            <w:shd w:val="clear" w:color="auto" w:fill="auto"/>
            <w:vAlign w:val="center"/>
          </w:tcPr>
          <w:p w14:paraId="68020E6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名称</w:t>
            </w:r>
          </w:p>
        </w:tc>
        <w:tc>
          <w:tcPr>
            <w:tcW w:w="3105" w:type="dxa"/>
            <w:tcBorders>
              <w:top w:val="single" w:color="auto" w:sz="4" w:space="0"/>
              <w:left w:val="nil"/>
              <w:bottom w:val="single" w:color="auto" w:sz="4" w:space="0"/>
              <w:right w:val="single" w:color="auto" w:sz="4" w:space="0"/>
            </w:tcBorders>
            <w:shd w:val="clear" w:color="auto" w:fill="auto"/>
            <w:vAlign w:val="center"/>
          </w:tcPr>
          <w:p w14:paraId="2BF0CF7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材质</w:t>
            </w:r>
          </w:p>
        </w:tc>
      </w:tr>
      <w:tr w14:paraId="3441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5" w:hRule="atLeast"/>
          <w:jc w:val="center"/>
        </w:trPr>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5183207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w:t>
            </w:r>
          </w:p>
        </w:tc>
        <w:tc>
          <w:tcPr>
            <w:tcW w:w="4005" w:type="dxa"/>
            <w:tcBorders>
              <w:top w:val="single" w:color="auto" w:sz="4" w:space="0"/>
              <w:left w:val="nil"/>
              <w:bottom w:val="single" w:color="auto" w:sz="4" w:space="0"/>
              <w:right w:val="single" w:color="auto" w:sz="4" w:space="0"/>
            </w:tcBorders>
            <w:shd w:val="clear" w:color="auto" w:fill="auto"/>
            <w:vAlign w:val="center"/>
          </w:tcPr>
          <w:p w14:paraId="031DFBA1">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栓身、阀体、法兰接管、弯管</w:t>
            </w:r>
          </w:p>
        </w:tc>
        <w:tc>
          <w:tcPr>
            <w:tcW w:w="3105" w:type="dxa"/>
            <w:tcBorders>
              <w:top w:val="single" w:color="auto" w:sz="4" w:space="0"/>
              <w:left w:val="nil"/>
              <w:bottom w:val="single" w:color="auto" w:sz="4" w:space="0"/>
              <w:right w:val="single" w:color="auto" w:sz="4" w:space="0"/>
            </w:tcBorders>
            <w:shd w:val="clear" w:color="auto" w:fill="auto"/>
            <w:vAlign w:val="center"/>
          </w:tcPr>
          <w:p w14:paraId="3908FAB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QT450-10</w:t>
            </w:r>
            <w:r>
              <w:rPr>
                <w:rFonts w:hint="eastAsia" w:ascii="宋体" w:hAnsi="宋体" w:eastAsia="宋体" w:cs="宋体"/>
                <w:color w:val="auto"/>
                <w:sz w:val="28"/>
                <w:szCs w:val="28"/>
                <w:highlight w:val="none"/>
                <w:lang w:val="en-US" w:eastAsia="zh-CN"/>
              </w:rPr>
              <w:t>球墨铸铁</w:t>
            </w:r>
          </w:p>
        </w:tc>
      </w:tr>
      <w:tr w14:paraId="617D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9" w:hRule="atLeast"/>
          <w:jc w:val="center"/>
        </w:trPr>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704EAF8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2</w:t>
            </w:r>
          </w:p>
        </w:tc>
        <w:tc>
          <w:tcPr>
            <w:tcW w:w="4005" w:type="dxa"/>
            <w:tcBorders>
              <w:top w:val="single" w:color="auto" w:sz="4" w:space="0"/>
              <w:left w:val="nil"/>
              <w:bottom w:val="single" w:color="auto" w:sz="4" w:space="0"/>
              <w:right w:val="single" w:color="auto" w:sz="4" w:space="0"/>
            </w:tcBorders>
            <w:shd w:val="clear" w:color="auto" w:fill="auto"/>
            <w:vAlign w:val="center"/>
          </w:tcPr>
          <w:p w14:paraId="0C48A72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驱动螺杆</w:t>
            </w:r>
          </w:p>
        </w:tc>
        <w:tc>
          <w:tcPr>
            <w:tcW w:w="3105" w:type="dxa"/>
            <w:tcBorders>
              <w:top w:val="single" w:color="auto" w:sz="4" w:space="0"/>
              <w:left w:val="nil"/>
              <w:bottom w:val="single" w:color="auto" w:sz="4" w:space="0"/>
              <w:right w:val="single" w:color="auto" w:sz="4" w:space="0"/>
            </w:tcBorders>
            <w:shd w:val="clear" w:color="auto" w:fill="auto"/>
            <w:vAlign w:val="center"/>
          </w:tcPr>
          <w:p w14:paraId="5588DF5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35#</w:t>
            </w:r>
            <w:r>
              <w:rPr>
                <w:rFonts w:hint="eastAsia" w:ascii="宋体" w:hAnsi="宋体" w:eastAsia="宋体" w:cs="宋体"/>
                <w:color w:val="auto"/>
                <w:sz w:val="28"/>
                <w:szCs w:val="28"/>
                <w:highlight w:val="none"/>
                <w:lang w:val="en-US" w:eastAsia="zh-CN"/>
              </w:rPr>
              <w:t>钢，表面镀铬</w:t>
            </w:r>
          </w:p>
        </w:tc>
      </w:tr>
      <w:tr w14:paraId="7884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jc w:val="center"/>
        </w:trPr>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76D2E0F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3</w:t>
            </w:r>
          </w:p>
        </w:tc>
        <w:tc>
          <w:tcPr>
            <w:tcW w:w="4005" w:type="dxa"/>
            <w:tcBorders>
              <w:top w:val="single" w:color="auto" w:sz="4" w:space="0"/>
              <w:left w:val="nil"/>
              <w:bottom w:val="single" w:color="auto" w:sz="4" w:space="0"/>
              <w:right w:val="single" w:color="auto" w:sz="4" w:space="0"/>
            </w:tcBorders>
            <w:shd w:val="clear" w:color="auto" w:fill="auto"/>
            <w:vAlign w:val="center"/>
          </w:tcPr>
          <w:p w14:paraId="714E7AC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阀座、阀杆螺母</w:t>
            </w:r>
          </w:p>
        </w:tc>
        <w:tc>
          <w:tcPr>
            <w:tcW w:w="3105" w:type="dxa"/>
            <w:tcBorders>
              <w:top w:val="single" w:color="auto" w:sz="4" w:space="0"/>
              <w:left w:val="nil"/>
              <w:bottom w:val="single" w:color="auto" w:sz="4" w:space="0"/>
              <w:right w:val="single" w:color="auto" w:sz="4" w:space="0"/>
            </w:tcBorders>
            <w:shd w:val="clear" w:color="auto" w:fill="auto"/>
            <w:vAlign w:val="center"/>
          </w:tcPr>
          <w:p w14:paraId="222F65F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ZcuZn  38</w:t>
            </w:r>
            <w:r>
              <w:rPr>
                <w:rFonts w:hint="eastAsia" w:ascii="宋体" w:hAnsi="宋体" w:eastAsia="宋体" w:cs="宋体"/>
                <w:color w:val="auto"/>
                <w:sz w:val="28"/>
                <w:szCs w:val="28"/>
                <w:highlight w:val="none"/>
                <w:lang w:val="en-US" w:eastAsia="zh-CN"/>
              </w:rPr>
              <w:t>铜合金</w:t>
            </w:r>
          </w:p>
        </w:tc>
      </w:tr>
      <w:tr w14:paraId="0AD2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jc w:val="center"/>
        </w:trPr>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33A8209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4</w:t>
            </w:r>
          </w:p>
        </w:tc>
        <w:tc>
          <w:tcPr>
            <w:tcW w:w="4005" w:type="dxa"/>
            <w:tcBorders>
              <w:top w:val="single" w:color="auto" w:sz="4" w:space="0"/>
              <w:left w:val="nil"/>
              <w:bottom w:val="single" w:color="auto" w:sz="4" w:space="0"/>
              <w:right w:val="single" w:color="auto" w:sz="4" w:space="0"/>
            </w:tcBorders>
            <w:shd w:val="clear" w:color="auto" w:fill="auto"/>
            <w:vAlign w:val="center"/>
          </w:tcPr>
          <w:p w14:paraId="60FCF2F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大出水口、小出水口</w:t>
            </w:r>
          </w:p>
        </w:tc>
        <w:tc>
          <w:tcPr>
            <w:tcW w:w="3105" w:type="dxa"/>
            <w:tcBorders>
              <w:top w:val="single" w:color="auto" w:sz="4" w:space="0"/>
              <w:left w:val="nil"/>
              <w:bottom w:val="single" w:color="auto" w:sz="4" w:space="0"/>
              <w:right w:val="single" w:color="auto" w:sz="4" w:space="0"/>
            </w:tcBorders>
            <w:shd w:val="clear" w:color="auto" w:fill="auto"/>
            <w:vAlign w:val="center"/>
          </w:tcPr>
          <w:p w14:paraId="12D5014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ZHPb59-1</w:t>
            </w:r>
            <w:r>
              <w:rPr>
                <w:rFonts w:hint="eastAsia" w:ascii="宋体" w:hAnsi="宋体" w:eastAsia="宋体" w:cs="宋体"/>
                <w:color w:val="auto"/>
                <w:sz w:val="28"/>
                <w:szCs w:val="28"/>
                <w:highlight w:val="none"/>
                <w:lang w:val="en-US" w:eastAsia="zh-CN"/>
              </w:rPr>
              <w:t>铅黄铜</w:t>
            </w:r>
          </w:p>
        </w:tc>
      </w:tr>
    </w:tbl>
    <w:p w14:paraId="32FEA34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（三）技术要求</w:t>
      </w:r>
    </w:p>
    <w:p w14:paraId="655FF7C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3.1</w:t>
      </w:r>
      <w:r>
        <w:rPr>
          <w:rFonts w:hint="eastAsia" w:ascii="宋体" w:hAnsi="宋体" w:eastAsia="宋体" w:cs="宋体"/>
          <w:color w:val="auto"/>
          <w:sz w:val="28"/>
          <w:szCs w:val="28"/>
          <w:highlight w:val="none"/>
          <w:lang w:val="en-US" w:eastAsia="zh-CN"/>
        </w:rPr>
        <w:t>消火栓的设计制造应符合</w:t>
      </w:r>
      <w:r>
        <w:rPr>
          <w:rFonts w:hint="default" w:ascii="宋体" w:hAnsi="宋体" w:eastAsia="宋体" w:cs="宋体"/>
          <w:color w:val="auto"/>
          <w:sz w:val="28"/>
          <w:szCs w:val="28"/>
          <w:highlight w:val="none"/>
          <w:lang w:val="en-US" w:eastAsia="zh-CN"/>
        </w:rPr>
        <w:t>GB4452-2011</w:t>
      </w:r>
      <w:r>
        <w:rPr>
          <w:rFonts w:hint="eastAsia" w:ascii="宋体" w:hAnsi="宋体" w:eastAsia="宋体" w:cs="宋体"/>
          <w:color w:val="auto"/>
          <w:sz w:val="28"/>
          <w:szCs w:val="28"/>
          <w:highlight w:val="none"/>
          <w:lang w:val="en-US" w:eastAsia="zh-CN"/>
        </w:rPr>
        <w:t>国家标准的规定，并规范性引用文件。</w:t>
      </w:r>
    </w:p>
    <w:p w14:paraId="72DF14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GB/T197-2018</w:t>
      </w:r>
      <w:r>
        <w:rPr>
          <w:rFonts w:hint="eastAsia" w:ascii="宋体" w:hAnsi="宋体" w:eastAsia="宋体" w:cs="宋体"/>
          <w:color w:val="auto"/>
          <w:sz w:val="28"/>
          <w:szCs w:val="28"/>
          <w:highlight w:val="none"/>
          <w:lang w:val="en-US" w:eastAsia="zh-CN"/>
        </w:rPr>
        <w:t>普通螺纹公差</w:t>
      </w:r>
    </w:p>
    <w:p w14:paraId="5B6AEE9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GB/T230.1-2018</w:t>
      </w:r>
      <w:r>
        <w:rPr>
          <w:rFonts w:hint="eastAsia" w:ascii="宋体" w:hAnsi="宋体" w:eastAsia="宋体" w:cs="宋体"/>
          <w:color w:val="auto"/>
          <w:sz w:val="28"/>
          <w:szCs w:val="28"/>
          <w:highlight w:val="none"/>
          <w:lang w:val="en-US" w:eastAsia="zh-CN"/>
        </w:rPr>
        <w:t>金属材料 洛氏硬度试验 第</w:t>
      </w: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部分：试验方法</w:t>
      </w:r>
    </w:p>
    <w:p w14:paraId="7692E11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GB/T699-2015</w:t>
      </w:r>
      <w:r>
        <w:rPr>
          <w:rFonts w:hint="eastAsia" w:ascii="宋体" w:hAnsi="宋体" w:eastAsia="宋体" w:cs="宋体"/>
          <w:color w:val="auto"/>
          <w:sz w:val="28"/>
          <w:szCs w:val="28"/>
          <w:highlight w:val="none"/>
          <w:lang w:val="en-US" w:eastAsia="zh-CN"/>
        </w:rPr>
        <w:t>优质碳素结构钢</w:t>
      </w:r>
    </w:p>
    <w:p w14:paraId="278BF7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GB/T1176-2013</w:t>
      </w:r>
      <w:r>
        <w:rPr>
          <w:rFonts w:hint="eastAsia" w:ascii="宋体" w:hAnsi="宋体" w:eastAsia="宋体" w:cs="宋体"/>
          <w:color w:val="auto"/>
          <w:sz w:val="28"/>
          <w:szCs w:val="28"/>
          <w:highlight w:val="none"/>
          <w:lang w:val="en-US" w:eastAsia="zh-CN"/>
        </w:rPr>
        <w:t>铸造铜及铜合金</w:t>
      </w:r>
    </w:p>
    <w:p w14:paraId="1609A4D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GB/T1348-2019</w:t>
      </w:r>
      <w:r>
        <w:rPr>
          <w:rFonts w:hint="eastAsia" w:ascii="宋体" w:hAnsi="宋体" w:eastAsia="宋体" w:cs="宋体"/>
          <w:color w:val="auto"/>
          <w:sz w:val="28"/>
          <w:szCs w:val="28"/>
          <w:highlight w:val="none"/>
          <w:lang w:val="en-US" w:eastAsia="zh-CN"/>
        </w:rPr>
        <w:t>球墨铸铁件</w:t>
      </w:r>
    </w:p>
    <w:p w14:paraId="41EE76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GB/T1804-2000</w:t>
      </w:r>
      <w:r>
        <w:rPr>
          <w:rFonts w:hint="eastAsia" w:ascii="宋体" w:hAnsi="宋体" w:eastAsia="宋体" w:cs="宋体"/>
          <w:color w:val="auto"/>
          <w:sz w:val="28"/>
          <w:szCs w:val="28"/>
          <w:highlight w:val="none"/>
          <w:lang w:val="en-US" w:eastAsia="zh-CN"/>
        </w:rPr>
        <w:t>一般公差 未注公差的线性和角度尺寸的公差</w:t>
      </w:r>
    </w:p>
    <w:p w14:paraId="001B09D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GB/T7307-2001  55</w:t>
      </w:r>
      <w:r>
        <w:rPr>
          <w:rFonts w:hint="eastAsia" w:ascii="宋体" w:hAnsi="宋体" w:eastAsia="宋体" w:cs="宋体"/>
          <w:color w:val="auto"/>
          <w:sz w:val="28"/>
          <w:szCs w:val="28"/>
          <w:highlight w:val="none"/>
          <w:lang w:val="en-US" w:eastAsia="zh-CN"/>
        </w:rPr>
        <w:t>°非密封管螺纹</w:t>
      </w:r>
    </w:p>
    <w:p w14:paraId="119AD3C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GB/T9439-2023</w:t>
      </w:r>
      <w:r>
        <w:rPr>
          <w:rFonts w:hint="eastAsia" w:ascii="宋体" w:hAnsi="宋体" w:eastAsia="宋体" w:cs="宋体"/>
          <w:color w:val="auto"/>
          <w:sz w:val="28"/>
          <w:szCs w:val="28"/>
          <w:highlight w:val="none"/>
          <w:lang w:val="en-US" w:eastAsia="zh-CN"/>
        </w:rPr>
        <w:t>灰铸铁件</w:t>
      </w:r>
    </w:p>
    <w:p w14:paraId="7CE78FB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GB12514.1-2005</w:t>
      </w:r>
      <w:r>
        <w:rPr>
          <w:rFonts w:hint="eastAsia" w:ascii="宋体" w:hAnsi="宋体" w:eastAsia="宋体" w:cs="宋体"/>
          <w:color w:val="auto"/>
          <w:sz w:val="28"/>
          <w:szCs w:val="28"/>
          <w:highlight w:val="none"/>
          <w:lang w:val="en-US" w:eastAsia="zh-CN"/>
        </w:rPr>
        <w:t>消防接口第</w:t>
      </w: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部分：消防接口通用技术条件</w:t>
      </w:r>
    </w:p>
    <w:p w14:paraId="4E2756A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GB12514.2-2006</w:t>
      </w:r>
      <w:r>
        <w:rPr>
          <w:rFonts w:hint="eastAsia" w:ascii="宋体" w:hAnsi="宋体" w:eastAsia="宋体" w:cs="宋体"/>
          <w:color w:val="auto"/>
          <w:sz w:val="28"/>
          <w:szCs w:val="28"/>
          <w:highlight w:val="none"/>
          <w:lang w:val="en-US" w:eastAsia="zh-CN"/>
        </w:rPr>
        <w:t>消防接口第</w:t>
      </w: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部分：内扣式消防接口型式和基本参数</w:t>
      </w:r>
    </w:p>
    <w:p w14:paraId="01DDCBD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3.2</w:t>
      </w:r>
      <w:r>
        <w:rPr>
          <w:rFonts w:hint="eastAsia" w:ascii="宋体" w:hAnsi="宋体" w:eastAsia="宋体" w:cs="宋体"/>
          <w:color w:val="auto"/>
          <w:sz w:val="28"/>
          <w:szCs w:val="28"/>
          <w:highlight w:val="none"/>
          <w:lang w:val="en-US" w:eastAsia="zh-CN"/>
        </w:rPr>
        <w:t>消火栓公称通径为</w:t>
      </w:r>
      <w:r>
        <w:rPr>
          <w:rFonts w:hint="default" w:ascii="宋体" w:hAnsi="宋体" w:eastAsia="宋体" w:cs="宋体"/>
          <w:color w:val="auto"/>
          <w:sz w:val="28"/>
          <w:szCs w:val="28"/>
          <w:highlight w:val="none"/>
          <w:lang w:val="en-US" w:eastAsia="zh-CN"/>
        </w:rPr>
        <w:t>100</w:t>
      </w:r>
      <w:r>
        <w:rPr>
          <w:rFonts w:hint="eastAsia" w:ascii="宋体" w:hAnsi="宋体" w:eastAsia="宋体" w:cs="宋体"/>
          <w:color w:val="auto"/>
          <w:sz w:val="28"/>
          <w:szCs w:val="28"/>
          <w:highlight w:val="none"/>
          <w:lang w:val="en-US" w:eastAsia="zh-CN"/>
        </w:rPr>
        <w:t>毫米，公称压力</w:t>
      </w:r>
      <w:r>
        <w:rPr>
          <w:rFonts w:hint="default" w:ascii="宋体" w:hAnsi="宋体" w:eastAsia="宋体" w:cs="宋体"/>
          <w:color w:val="auto"/>
          <w:sz w:val="28"/>
          <w:szCs w:val="28"/>
          <w:highlight w:val="none"/>
          <w:lang w:val="en-US" w:eastAsia="zh-CN"/>
        </w:rPr>
        <w:t>: PN16,</w:t>
      </w:r>
      <w:r>
        <w:rPr>
          <w:rFonts w:hint="eastAsia" w:ascii="宋体" w:hAnsi="宋体" w:eastAsia="宋体" w:cs="宋体"/>
          <w:color w:val="auto"/>
          <w:sz w:val="28"/>
          <w:szCs w:val="28"/>
          <w:highlight w:val="none"/>
          <w:lang w:val="en-US" w:eastAsia="zh-CN"/>
        </w:rPr>
        <w:t>强度试验为公称压力的</w:t>
      </w:r>
      <w:r>
        <w:rPr>
          <w:rFonts w:hint="default"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lang w:val="en-US" w:eastAsia="zh-CN"/>
        </w:rPr>
        <w:t>倍。</w:t>
      </w:r>
    </w:p>
    <w:p w14:paraId="2A1ACF8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3.3</w:t>
      </w:r>
      <w:r>
        <w:rPr>
          <w:rFonts w:hint="eastAsia" w:ascii="宋体" w:hAnsi="宋体" w:eastAsia="宋体" w:cs="宋体"/>
          <w:color w:val="auto"/>
          <w:sz w:val="28"/>
          <w:szCs w:val="28"/>
          <w:highlight w:val="none"/>
          <w:lang w:val="en-US" w:eastAsia="zh-CN"/>
        </w:rPr>
        <w:t>消火栓适用介质：消防管网中的水</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介质温度</w:t>
      </w:r>
      <w:r>
        <w:rPr>
          <w:rFonts w:hint="default" w:ascii="宋体" w:hAnsi="宋体" w:eastAsia="宋体" w:cs="宋体"/>
          <w:color w:val="auto"/>
          <w:sz w:val="28"/>
          <w:szCs w:val="28"/>
          <w:highlight w:val="none"/>
          <w:lang w:val="en-US" w:eastAsia="zh-CN"/>
        </w:rPr>
        <w:t>≤65℃</w:t>
      </w:r>
      <w:r>
        <w:rPr>
          <w:rFonts w:hint="eastAsia" w:ascii="宋体" w:hAnsi="宋体" w:eastAsia="宋体" w:cs="宋体"/>
          <w:color w:val="auto"/>
          <w:sz w:val="28"/>
          <w:szCs w:val="28"/>
          <w:highlight w:val="none"/>
          <w:lang w:val="en-US" w:eastAsia="zh-CN"/>
        </w:rPr>
        <w:t>；</w:t>
      </w:r>
    </w:p>
    <w:p w14:paraId="5088EB3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3.4</w:t>
      </w:r>
      <w:r>
        <w:rPr>
          <w:rFonts w:hint="eastAsia" w:ascii="宋体" w:hAnsi="宋体" w:eastAsia="宋体" w:cs="宋体"/>
          <w:color w:val="auto"/>
          <w:sz w:val="28"/>
          <w:szCs w:val="28"/>
          <w:highlight w:val="none"/>
          <w:lang w:val="en-US" w:eastAsia="zh-CN"/>
        </w:rPr>
        <w:t>消火栓采用法兰连接。</w:t>
      </w:r>
    </w:p>
    <w:p w14:paraId="7D26021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法兰式消火栓的法兰连接尺寸应符合图</w:t>
      </w: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和表</w:t>
      </w: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的规定</w:t>
      </w:r>
    </w:p>
    <w:p w14:paraId="140012C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图1</w:t>
      </w:r>
    </w:p>
    <w:p w14:paraId="355CF38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drawing>
          <wp:anchor distT="0" distB="0" distL="114300" distR="114300" simplePos="0" relativeHeight="251661312" behindDoc="0" locked="0" layoutInCell="1" allowOverlap="1">
            <wp:simplePos x="0" y="0"/>
            <wp:positionH relativeFrom="column">
              <wp:posOffset>1069975</wp:posOffset>
            </wp:positionH>
            <wp:positionV relativeFrom="paragraph">
              <wp:posOffset>76200</wp:posOffset>
            </wp:positionV>
            <wp:extent cx="1875155" cy="1736725"/>
            <wp:effectExtent l="0" t="0" r="10795" b="15875"/>
            <wp:wrapSquare wrapText="bothSides"/>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21"/>
                    <a:stretch>
                      <a:fillRect/>
                    </a:stretch>
                  </pic:blipFill>
                  <pic:spPr>
                    <a:xfrm>
                      <a:off x="0" y="0"/>
                      <a:ext cx="1875155" cy="1736725"/>
                    </a:xfrm>
                    <a:prstGeom prst="rect">
                      <a:avLst/>
                    </a:prstGeom>
                    <a:noFill/>
                    <a:ln w="9525">
                      <a:noFill/>
                    </a:ln>
                  </pic:spPr>
                </pic:pic>
              </a:graphicData>
            </a:graphic>
          </wp:anchor>
        </w:drawing>
      </w:r>
    </w:p>
    <w:p w14:paraId="6DBE69C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p>
    <w:p w14:paraId="58E3B91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p>
    <w:p w14:paraId="2B5C04E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p>
    <w:p w14:paraId="57C64BB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p>
    <w:p w14:paraId="03BC943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p>
    <w:p w14:paraId="283A8D1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p>
    <w:p w14:paraId="5B30859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表1</w:t>
      </w:r>
    </w:p>
    <w:tbl>
      <w:tblPr>
        <w:tblStyle w:val="8"/>
        <w:tblW w:w="48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21"/>
        <w:gridCol w:w="1095"/>
        <w:gridCol w:w="1193"/>
        <w:gridCol w:w="1101"/>
        <w:gridCol w:w="1162"/>
        <w:gridCol w:w="1143"/>
        <w:gridCol w:w="1131"/>
        <w:gridCol w:w="757"/>
      </w:tblGrid>
      <w:tr w14:paraId="04A0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4" w:hRule="atLeast"/>
          <w:jc w:val="center"/>
        </w:trPr>
        <w:tc>
          <w:tcPr>
            <w:tcW w:w="11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88270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p>
          <w:p w14:paraId="66061E7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进水口</w:t>
            </w:r>
          </w:p>
          <w:p w14:paraId="5C297CE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公称通径</w:t>
            </w:r>
          </w:p>
        </w:tc>
        <w:tc>
          <w:tcPr>
            <w:tcW w:w="2215" w:type="dxa"/>
            <w:gridSpan w:val="2"/>
            <w:tcBorders>
              <w:top w:val="single" w:color="auto" w:sz="4" w:space="0"/>
              <w:left w:val="nil"/>
              <w:bottom w:val="single" w:color="auto" w:sz="4" w:space="0"/>
              <w:right w:val="single" w:color="auto" w:sz="4" w:space="0"/>
            </w:tcBorders>
            <w:shd w:val="clear" w:color="auto" w:fill="auto"/>
            <w:vAlign w:val="center"/>
          </w:tcPr>
          <w:p w14:paraId="03B3DE9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法兰外径</w:t>
            </w:r>
            <w:r>
              <w:rPr>
                <w:rFonts w:hint="default" w:ascii="宋体" w:hAnsi="宋体" w:eastAsia="宋体" w:cs="宋体"/>
                <w:color w:val="auto"/>
                <w:sz w:val="28"/>
                <w:szCs w:val="28"/>
                <w:highlight w:val="none"/>
                <w:lang w:val="en-US" w:eastAsia="zh-CN"/>
              </w:rPr>
              <w:t>D</w:t>
            </w:r>
          </w:p>
        </w:tc>
        <w:tc>
          <w:tcPr>
            <w:tcW w:w="2190" w:type="dxa"/>
            <w:gridSpan w:val="2"/>
            <w:tcBorders>
              <w:top w:val="single" w:color="auto" w:sz="4" w:space="0"/>
              <w:left w:val="nil"/>
              <w:bottom w:val="single" w:color="auto" w:sz="4" w:space="0"/>
              <w:right w:val="single" w:color="auto" w:sz="4" w:space="0"/>
            </w:tcBorders>
            <w:shd w:val="clear" w:color="auto" w:fill="auto"/>
            <w:vAlign w:val="center"/>
          </w:tcPr>
          <w:p w14:paraId="21850C4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螺栓孔中心圆直径</w:t>
            </w:r>
            <w:r>
              <w:rPr>
                <w:rFonts w:hint="default" w:ascii="宋体" w:hAnsi="宋体" w:eastAsia="宋体" w:cs="宋体"/>
                <w:color w:val="auto"/>
                <w:sz w:val="28"/>
                <w:szCs w:val="28"/>
                <w:highlight w:val="none"/>
                <w:lang w:val="en-US" w:eastAsia="zh-CN"/>
              </w:rPr>
              <w:t>D1</w:t>
            </w:r>
          </w:p>
        </w:tc>
        <w:tc>
          <w:tcPr>
            <w:tcW w:w="2201" w:type="dxa"/>
            <w:gridSpan w:val="2"/>
            <w:tcBorders>
              <w:top w:val="single" w:color="auto" w:sz="4" w:space="0"/>
              <w:left w:val="nil"/>
              <w:bottom w:val="single" w:color="auto" w:sz="4" w:space="0"/>
              <w:right w:val="single" w:color="auto" w:sz="4" w:space="0"/>
            </w:tcBorders>
            <w:shd w:val="clear" w:color="auto" w:fill="auto"/>
            <w:vAlign w:val="center"/>
          </w:tcPr>
          <w:p w14:paraId="1FDD0E3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螺栓孔直径</w:t>
            </w:r>
            <w:r>
              <w:rPr>
                <w:rFonts w:hint="default" w:ascii="宋体" w:hAnsi="宋体" w:eastAsia="宋体" w:cs="宋体"/>
                <w:color w:val="auto"/>
                <w:sz w:val="28"/>
                <w:szCs w:val="28"/>
                <w:highlight w:val="none"/>
                <w:lang w:val="en-US" w:eastAsia="zh-CN"/>
              </w:rPr>
              <w:t>d</w:t>
            </w:r>
          </w:p>
        </w:tc>
        <w:tc>
          <w:tcPr>
            <w:tcW w:w="733" w:type="dxa"/>
            <w:vMerge w:val="restart"/>
            <w:tcBorders>
              <w:top w:val="single" w:color="auto" w:sz="4" w:space="0"/>
              <w:left w:val="nil"/>
              <w:bottom w:val="single" w:color="auto" w:sz="4" w:space="0"/>
              <w:right w:val="single" w:color="auto" w:sz="4" w:space="0"/>
            </w:tcBorders>
            <w:shd w:val="clear" w:color="auto" w:fill="auto"/>
            <w:vAlign w:val="center"/>
          </w:tcPr>
          <w:p w14:paraId="6A0E73A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螺栓数</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个</w:t>
            </w:r>
          </w:p>
        </w:tc>
      </w:tr>
      <w:tr w14:paraId="557D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DD8D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p>
        </w:tc>
        <w:tc>
          <w:tcPr>
            <w:tcW w:w="1060" w:type="dxa"/>
            <w:tcBorders>
              <w:top w:val="single" w:color="auto" w:sz="4" w:space="0"/>
              <w:left w:val="nil"/>
              <w:bottom w:val="single" w:color="auto" w:sz="4" w:space="0"/>
              <w:right w:val="single" w:color="auto" w:sz="4" w:space="0"/>
            </w:tcBorders>
            <w:shd w:val="clear" w:color="auto" w:fill="auto"/>
            <w:vAlign w:val="center"/>
          </w:tcPr>
          <w:p w14:paraId="1CB7588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基本尺寸</w:t>
            </w:r>
          </w:p>
        </w:tc>
        <w:tc>
          <w:tcPr>
            <w:tcW w:w="1155" w:type="dxa"/>
            <w:tcBorders>
              <w:top w:val="single" w:color="auto" w:sz="4" w:space="0"/>
              <w:left w:val="nil"/>
              <w:bottom w:val="single" w:color="auto" w:sz="4" w:space="0"/>
              <w:right w:val="single" w:color="auto" w:sz="4" w:space="0"/>
            </w:tcBorders>
            <w:shd w:val="clear" w:color="auto" w:fill="auto"/>
            <w:vAlign w:val="center"/>
          </w:tcPr>
          <w:p w14:paraId="589122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极限偏差</w:t>
            </w:r>
          </w:p>
        </w:tc>
        <w:tc>
          <w:tcPr>
            <w:tcW w:w="1066" w:type="dxa"/>
            <w:tcBorders>
              <w:top w:val="single" w:color="auto" w:sz="4" w:space="0"/>
              <w:left w:val="nil"/>
              <w:bottom w:val="single" w:color="auto" w:sz="4" w:space="0"/>
              <w:right w:val="single" w:color="auto" w:sz="4" w:space="0"/>
            </w:tcBorders>
            <w:shd w:val="clear" w:color="auto" w:fill="auto"/>
            <w:vAlign w:val="center"/>
          </w:tcPr>
          <w:p w14:paraId="5F413CA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基本尺寸</w:t>
            </w:r>
          </w:p>
        </w:tc>
        <w:tc>
          <w:tcPr>
            <w:tcW w:w="1124" w:type="dxa"/>
            <w:tcBorders>
              <w:top w:val="single" w:color="auto" w:sz="4" w:space="0"/>
              <w:left w:val="nil"/>
              <w:bottom w:val="single" w:color="auto" w:sz="4" w:space="0"/>
              <w:right w:val="single" w:color="auto" w:sz="4" w:space="0"/>
            </w:tcBorders>
            <w:shd w:val="clear" w:color="auto" w:fill="auto"/>
            <w:vAlign w:val="center"/>
          </w:tcPr>
          <w:p w14:paraId="307E016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极限偏差</w:t>
            </w:r>
          </w:p>
        </w:tc>
        <w:tc>
          <w:tcPr>
            <w:tcW w:w="1106" w:type="dxa"/>
            <w:tcBorders>
              <w:top w:val="single" w:color="auto" w:sz="4" w:space="0"/>
              <w:left w:val="nil"/>
              <w:bottom w:val="single" w:color="auto" w:sz="4" w:space="0"/>
              <w:right w:val="single" w:color="auto" w:sz="4" w:space="0"/>
            </w:tcBorders>
            <w:shd w:val="clear" w:color="auto" w:fill="auto"/>
            <w:vAlign w:val="center"/>
          </w:tcPr>
          <w:p w14:paraId="2C0CAF2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基本尺寸</w:t>
            </w:r>
          </w:p>
        </w:tc>
        <w:tc>
          <w:tcPr>
            <w:tcW w:w="1095" w:type="dxa"/>
            <w:tcBorders>
              <w:top w:val="single" w:color="auto" w:sz="4" w:space="0"/>
              <w:left w:val="nil"/>
              <w:bottom w:val="single" w:color="auto" w:sz="4" w:space="0"/>
              <w:right w:val="single" w:color="auto" w:sz="4" w:space="0"/>
            </w:tcBorders>
            <w:shd w:val="clear" w:color="auto" w:fill="auto"/>
            <w:vAlign w:val="center"/>
          </w:tcPr>
          <w:p w14:paraId="674202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极限偏差</w:t>
            </w:r>
          </w:p>
        </w:tc>
        <w:tc>
          <w:tcPr>
            <w:tcW w:w="733" w:type="dxa"/>
            <w:vMerge w:val="continue"/>
            <w:tcBorders>
              <w:top w:val="single" w:color="auto" w:sz="4" w:space="0"/>
              <w:left w:val="nil"/>
              <w:bottom w:val="single" w:color="auto" w:sz="4" w:space="0"/>
              <w:right w:val="single" w:color="auto" w:sz="4" w:space="0"/>
            </w:tcBorders>
            <w:shd w:val="clear" w:color="auto" w:fill="auto"/>
            <w:vAlign w:val="center"/>
          </w:tcPr>
          <w:p w14:paraId="2BA7D5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p>
        </w:tc>
      </w:tr>
      <w:tr w14:paraId="25E1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28021B3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100</w:t>
            </w:r>
          </w:p>
        </w:tc>
        <w:tc>
          <w:tcPr>
            <w:tcW w:w="1060" w:type="dxa"/>
            <w:tcBorders>
              <w:top w:val="single" w:color="auto" w:sz="4" w:space="0"/>
              <w:left w:val="nil"/>
              <w:bottom w:val="single" w:color="auto" w:sz="4" w:space="0"/>
              <w:right w:val="single" w:color="auto" w:sz="4" w:space="0"/>
            </w:tcBorders>
            <w:shd w:val="clear" w:color="auto" w:fill="auto"/>
            <w:vAlign w:val="center"/>
          </w:tcPr>
          <w:p w14:paraId="7CFBFFE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220</w:t>
            </w:r>
          </w:p>
        </w:tc>
        <w:tc>
          <w:tcPr>
            <w:tcW w:w="1155" w:type="dxa"/>
            <w:tcBorders>
              <w:top w:val="single" w:color="auto" w:sz="4" w:space="0"/>
              <w:left w:val="nil"/>
              <w:bottom w:val="single" w:color="auto" w:sz="4" w:space="0"/>
              <w:right w:val="single" w:color="auto" w:sz="4" w:space="0"/>
            </w:tcBorders>
            <w:shd w:val="clear" w:color="auto" w:fill="auto"/>
            <w:vAlign w:val="center"/>
          </w:tcPr>
          <w:p w14:paraId="7DE2EC0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±2.80</w:t>
            </w:r>
          </w:p>
        </w:tc>
        <w:tc>
          <w:tcPr>
            <w:tcW w:w="1066" w:type="dxa"/>
            <w:tcBorders>
              <w:top w:val="single" w:color="auto" w:sz="4" w:space="0"/>
              <w:left w:val="nil"/>
              <w:bottom w:val="single" w:color="auto" w:sz="4" w:space="0"/>
              <w:right w:val="single" w:color="auto" w:sz="4" w:space="0"/>
            </w:tcBorders>
            <w:shd w:val="clear" w:color="auto" w:fill="auto"/>
            <w:vAlign w:val="center"/>
          </w:tcPr>
          <w:p w14:paraId="762C4FF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180</w:t>
            </w:r>
          </w:p>
        </w:tc>
        <w:tc>
          <w:tcPr>
            <w:tcW w:w="1124" w:type="dxa"/>
            <w:tcBorders>
              <w:top w:val="single" w:color="auto" w:sz="4" w:space="0"/>
              <w:left w:val="nil"/>
              <w:bottom w:val="single" w:color="auto" w:sz="4" w:space="0"/>
              <w:right w:val="single" w:color="auto" w:sz="4" w:space="0"/>
            </w:tcBorders>
            <w:shd w:val="clear" w:color="auto" w:fill="auto"/>
            <w:vAlign w:val="center"/>
          </w:tcPr>
          <w:p w14:paraId="791FB25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±0.50</w:t>
            </w:r>
          </w:p>
        </w:tc>
        <w:tc>
          <w:tcPr>
            <w:tcW w:w="1106" w:type="dxa"/>
            <w:tcBorders>
              <w:top w:val="single" w:color="auto" w:sz="4" w:space="0"/>
              <w:left w:val="nil"/>
              <w:bottom w:val="single" w:color="auto" w:sz="4" w:space="0"/>
              <w:right w:val="single" w:color="auto" w:sz="4" w:space="0"/>
            </w:tcBorders>
            <w:shd w:val="clear" w:color="auto" w:fill="auto"/>
            <w:vAlign w:val="center"/>
          </w:tcPr>
          <w:p w14:paraId="25052EB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17.5</w:t>
            </w:r>
          </w:p>
        </w:tc>
        <w:tc>
          <w:tcPr>
            <w:tcW w:w="1095" w:type="dxa"/>
            <w:tcBorders>
              <w:top w:val="single" w:color="auto" w:sz="4" w:space="0"/>
              <w:left w:val="nil"/>
              <w:bottom w:val="single" w:color="auto" w:sz="4" w:space="0"/>
              <w:right w:val="single" w:color="auto" w:sz="4" w:space="0"/>
            </w:tcBorders>
            <w:shd w:val="clear" w:color="auto" w:fill="auto"/>
            <w:vAlign w:val="center"/>
          </w:tcPr>
          <w:p w14:paraId="0E4F726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+0.43</w:t>
            </w:r>
          </w:p>
          <w:p w14:paraId="7730FB2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0</w:t>
            </w:r>
          </w:p>
        </w:tc>
        <w:tc>
          <w:tcPr>
            <w:tcW w:w="733" w:type="dxa"/>
            <w:tcBorders>
              <w:top w:val="single" w:color="auto" w:sz="4" w:space="0"/>
              <w:left w:val="nil"/>
              <w:bottom w:val="single" w:color="auto" w:sz="4" w:space="0"/>
              <w:right w:val="single" w:color="auto" w:sz="4" w:space="0"/>
            </w:tcBorders>
            <w:shd w:val="clear" w:color="auto" w:fill="auto"/>
            <w:vAlign w:val="center"/>
          </w:tcPr>
          <w:p w14:paraId="1DE0241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left"/>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8</w:t>
            </w:r>
          </w:p>
        </w:tc>
      </w:tr>
    </w:tbl>
    <w:p w14:paraId="620510D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（四）结构及性能要求</w:t>
      </w:r>
    </w:p>
    <w:p w14:paraId="180AB3E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4.1消火栓的结构设计应保证消火栓在使用时的内部最小流通面积不小于公称通径的85%。</w:t>
      </w:r>
    </w:p>
    <w:p w14:paraId="16C5C28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4.2室外消火栓外形结构：有帽盖、本体、大出水口、内扣式消防接口、阀体、弯管等零件组装而成。</w:t>
      </w:r>
    </w:p>
    <w:p w14:paraId="42A0EA3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4.3从内部结构：有阀杆接头、杠座、阀杆座、导柱、导管、阀瓣、密合板、阀座。</w:t>
      </w:r>
    </w:p>
    <w:p w14:paraId="42335D8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4.4消火栓采用从上向下压紧形式的密封结构，密封性能可靠；阀瓣密封采用丁晴橡胶，完全符合涉水产品卫生许可标准。</w:t>
      </w:r>
    </w:p>
    <w:p w14:paraId="2BF56CD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（五）外观质量</w:t>
      </w:r>
    </w:p>
    <w:p w14:paraId="42987D3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5.1消火栓的铸铁件表面应进行喷砂处理，以除去铁粉、水份及油等杂物。</w:t>
      </w:r>
    </w:p>
    <w:p w14:paraId="5D54466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5.2消火栓内腔应涂防锈漆，栓体表面涂丙烯酸防锈底漆后再涂丙烯酸防紫外线大红漆，防止生锈和流体的腐蚀。</w:t>
      </w:r>
    </w:p>
    <w:p w14:paraId="14B184C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5.3消火栓的铸铜件表面应无明显砂眼，气孔，裂纹，等缺陷。</w:t>
      </w:r>
    </w:p>
    <w:p w14:paraId="0791533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（六）螺纹</w:t>
      </w:r>
    </w:p>
    <w:p w14:paraId="7931DF1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消火栓管螺纹的基本尺寸和公差应符合GB/T7307-2001的规定。普通螺纹的公差应符合GB/T197-2018中内螺纹7H级，外螺纹8g级的要求，螺纹应无缺牙，表面应光洁。</w:t>
      </w:r>
    </w:p>
    <w:p w14:paraId="1A33333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（七）开启高度</w:t>
      </w:r>
    </w:p>
    <w:p w14:paraId="27B14B3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进水口公称通径为100mm的消火栓开启高度应大于50mm。</w:t>
      </w:r>
    </w:p>
    <w:p w14:paraId="41C39A3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（八）排放余水装置</w:t>
      </w:r>
    </w:p>
    <w:p w14:paraId="045790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消火栓应有自动排放余水装置（弹簧----弹子），在消火栓处于正常使用（全开启）状态，该装置不得发生渗漏现象。</w:t>
      </w:r>
    </w:p>
    <w:p w14:paraId="1D00DB4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（九）消防接口</w:t>
      </w:r>
    </w:p>
    <w:p w14:paraId="11195E4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9.1进水口公称通径为100mm的地上消火栓应用GB12514.2-2006规定的KWS65型外螺纹固定接口。</w:t>
      </w:r>
    </w:p>
    <w:p w14:paraId="1ED7AED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9.2进水口公称通径为100mm的消火栓上的吸水管接口螺纹为M125X6。</w:t>
      </w:r>
    </w:p>
    <w:p w14:paraId="2899C6C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9.3消火栓接口的性能应符合GB12514.1-2005的规定。</w:t>
      </w:r>
    </w:p>
    <w:p w14:paraId="2BA152C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（十）标志</w:t>
      </w:r>
    </w:p>
    <w:p w14:paraId="68EE6F0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在消火栓栓体上清晰地铸出型号规格、商标等永久性标志。</w:t>
      </w:r>
    </w:p>
    <w:p w14:paraId="3BEE0D0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（十一）包装</w:t>
      </w:r>
    </w:p>
    <w:p w14:paraId="13FA636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color w:val="auto"/>
          <w:highlight w:val="none"/>
          <w:lang w:val="en-US" w:eastAsia="zh-CN"/>
        </w:rPr>
      </w:pPr>
      <w:r>
        <w:rPr>
          <w:rFonts w:hint="default" w:ascii="宋体" w:hAnsi="宋体" w:eastAsia="宋体" w:cs="宋体"/>
          <w:color w:val="auto"/>
          <w:sz w:val="28"/>
          <w:szCs w:val="28"/>
          <w:highlight w:val="none"/>
          <w:lang w:val="en-US" w:eastAsia="zh-CN"/>
        </w:rPr>
        <w:t>产品检验合格后，清除试验时留在产品内部的剩水和表面油污脏物，在非油漆表面涂应防锈油。产品的外罩包装袋上应有下列内容：产品名称、规格型号、出厂编号、重量（净重和毛重）、注册商标、制造日期。内附有产品使用说明书、装箱单和产品合格证。</w:t>
      </w:r>
    </w:p>
    <w:p w14:paraId="5437A91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42" w:firstLineChars="200"/>
        <w:textAlignment w:val="baseline"/>
        <w:rPr>
          <w:rFonts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lang w:val="en-US" w:eastAsia="zh-CN"/>
        </w:rPr>
        <w:t>三</w:t>
      </w:r>
      <w:r>
        <w:rPr>
          <w:rFonts w:ascii="宋体" w:hAnsi="宋体" w:eastAsia="宋体" w:cs="宋体"/>
          <w:b/>
          <w:bCs/>
          <w:color w:val="auto"/>
          <w:spacing w:val="-5"/>
          <w:sz w:val="28"/>
          <w:szCs w:val="28"/>
          <w:highlight w:val="none"/>
        </w:rPr>
        <w:t>、</w:t>
      </w:r>
      <w:r>
        <w:rPr>
          <w:rFonts w:ascii="宋体" w:hAnsi="宋体" w:eastAsia="宋体" w:cs="宋体"/>
          <w:b/>
          <w:bCs/>
          <w:color w:val="auto"/>
          <w:spacing w:val="-11"/>
          <w:sz w:val="28"/>
          <w:szCs w:val="28"/>
          <w:highlight w:val="none"/>
        </w:rPr>
        <w:t>商务要求：</w:t>
      </w:r>
    </w:p>
    <w:p w14:paraId="0AC3EFB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（一）供货周期要求：</w:t>
      </w:r>
      <w:r>
        <w:rPr>
          <w:rFonts w:hint="eastAsia" w:ascii="宋体" w:hAnsi="宋体" w:eastAsia="宋体" w:cs="宋体"/>
          <w:color w:val="auto"/>
          <w:sz w:val="28"/>
          <w:szCs w:val="28"/>
          <w:highlight w:val="none"/>
          <w:lang w:val="en-US" w:eastAsia="zh-CN"/>
        </w:rPr>
        <w:t>1年。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37E03BB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（二）交货、安装地点：</w:t>
      </w:r>
      <w:r>
        <w:rPr>
          <w:rFonts w:hint="eastAsia" w:ascii="宋体" w:hAnsi="宋体" w:eastAsia="宋体" w:cs="宋体"/>
          <w:color w:val="auto"/>
          <w:sz w:val="28"/>
          <w:szCs w:val="28"/>
          <w:highlight w:val="none"/>
          <w:lang w:val="en-US" w:eastAsia="zh-CN"/>
        </w:rPr>
        <w:t>运输并卸货至采购人指定地点，并指导安装。</w:t>
      </w:r>
    </w:p>
    <w:p w14:paraId="1B1D9166">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right="0" w:firstLine="562" w:firstLineChars="200"/>
        <w:contextualSpacing/>
        <w:jc w:val="both"/>
        <w:rPr>
          <w:rFonts w:hint="default" w:ascii="宋体" w:hAnsi="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（三）质量要求：</w:t>
      </w:r>
      <w:r>
        <w:rPr>
          <w:rFonts w:hint="default" w:ascii="宋体" w:hAnsi="宋体" w:cs="宋体"/>
          <w:b w:val="0"/>
          <w:bCs w:val="0"/>
          <w:color w:val="auto"/>
          <w:sz w:val="28"/>
          <w:szCs w:val="28"/>
          <w:highlight w:val="none"/>
          <w:lang w:val="en-US" w:eastAsia="zh-CN"/>
        </w:rPr>
        <w:t>成交供应商须提供符合采购需求、符合国家质量检测标准的全新未使用过的原装合格产品，产品质量符合招标文件要求、行业及国家标准（供货时提供相关证明材料、有效产品合格证）。</w:t>
      </w:r>
    </w:p>
    <w:p w14:paraId="1443243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hint="eastAsia" w:ascii="宋体" w:hAnsi="宋体" w:eastAsia="宋体" w:cs="宋体"/>
          <w:b/>
          <w:bCs/>
          <w:color w:val="auto"/>
          <w:sz w:val="28"/>
          <w:szCs w:val="28"/>
          <w:highlight w:val="none"/>
          <w:lang w:val="en-US" w:eastAsia="zh-CN"/>
        </w:rPr>
      </w:pPr>
    </w:p>
    <w:p w14:paraId="6CFF1783">
      <w:pPr>
        <w:adjustRightInd w:val="0"/>
        <w:snapToGrid w:val="0"/>
        <w:spacing w:line="500" w:lineRule="exact"/>
        <w:ind w:firstLine="562" w:firstLineChars="200"/>
        <w:jc w:val="left"/>
        <w:rPr>
          <w:rFonts w:hint="default" w:ascii="宋体" w:hAnsi="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（四）质保、售后服务要求：</w:t>
      </w:r>
      <w:r>
        <w:rPr>
          <w:rFonts w:hint="default" w:ascii="宋体" w:hAnsi="宋体" w:cs="宋体"/>
          <w:b w:val="0"/>
          <w:bCs w:val="0"/>
          <w:color w:val="auto"/>
          <w:sz w:val="28"/>
          <w:szCs w:val="28"/>
          <w:highlight w:val="none"/>
          <w:lang w:val="en-US" w:eastAsia="zh-CN"/>
        </w:rPr>
        <w:t>供应商报价时须承诺所供货物的免费质保期为3年（含)以上（原厂质保期高于供应商承诺质保期的，按原厂质保期计算。自验收合格报告签字确认日起，开始进入质保期）。</w:t>
      </w:r>
    </w:p>
    <w:p w14:paraId="23C309DC">
      <w:pPr>
        <w:adjustRightInd w:val="0"/>
        <w:snapToGrid w:val="0"/>
        <w:spacing w:line="500" w:lineRule="exact"/>
        <w:ind w:firstLine="560" w:firstLineChars="200"/>
        <w:jc w:val="left"/>
        <w:rPr>
          <w:rFonts w:hint="default" w:ascii="宋体" w:hAnsi="宋体" w:cs="宋体"/>
          <w:b w:val="0"/>
          <w:bCs w:val="0"/>
          <w:color w:val="auto"/>
          <w:sz w:val="28"/>
          <w:szCs w:val="28"/>
          <w:highlight w:val="none"/>
          <w:lang w:val="en-US" w:eastAsia="zh-CN"/>
        </w:rPr>
      </w:pPr>
      <w:r>
        <w:rPr>
          <w:rFonts w:hint="default" w:ascii="宋体" w:hAnsi="宋体" w:cs="宋体"/>
          <w:b w:val="0"/>
          <w:bCs w:val="0"/>
          <w:color w:val="auto"/>
          <w:sz w:val="28"/>
          <w:szCs w:val="28"/>
          <w:highlight w:val="none"/>
          <w:lang w:val="en-US" w:eastAsia="zh-CN"/>
        </w:rPr>
        <w:t>质保期内，因供货方所供货物的制造质量出现问题（包含消防栓表面褪色、关不死等情况），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启东水司的采购项目。</w:t>
      </w:r>
    </w:p>
    <w:p w14:paraId="299FE527">
      <w:pPr>
        <w:adjustRightInd w:val="0"/>
        <w:snapToGrid w:val="0"/>
        <w:spacing w:line="500" w:lineRule="exact"/>
        <w:ind w:firstLine="560" w:firstLineChars="200"/>
        <w:jc w:val="left"/>
        <w:rPr>
          <w:rFonts w:hint="eastAsia" w:ascii="宋体" w:hAnsi="宋体" w:cs="宋体"/>
          <w:b w:val="0"/>
          <w:bCs w:val="0"/>
          <w:color w:val="auto"/>
          <w:sz w:val="28"/>
          <w:szCs w:val="28"/>
          <w:highlight w:val="none"/>
          <w:lang w:val="en-US" w:eastAsia="zh-CN"/>
        </w:rPr>
      </w:pPr>
      <w:r>
        <w:rPr>
          <w:rFonts w:hint="default" w:ascii="宋体" w:hAnsi="宋体" w:cs="宋体"/>
          <w:b w:val="0"/>
          <w:bCs w:val="0"/>
          <w:color w:val="auto"/>
          <w:sz w:val="28"/>
          <w:szCs w:val="28"/>
          <w:highlight w:val="none"/>
          <w:lang w:val="en-US" w:eastAsia="zh-CN"/>
        </w:rPr>
        <w:t xml:space="preserve">  如消防栓表面褪色、关不死等情况，出现一次，进行修复（更换后），第二次仍出现上述问题，采购方有权终止合同，并向供货方索赔。</w:t>
      </w:r>
    </w:p>
    <w:p w14:paraId="103D5547">
      <w:pPr>
        <w:pStyle w:val="6"/>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20" w:lineRule="exact"/>
        <w:ind w:left="0" w:leftChars="0" w:right="63" w:rightChars="30" w:firstLine="562" w:firstLineChars="200"/>
        <w:jc w:val="both"/>
        <w:textAlignment w:val="baseline"/>
        <w:rPr>
          <w:rFonts w:hint="default" w:ascii="宋体" w:hAnsi="宋体" w:eastAsia="Arial" w:cs="宋体"/>
          <w:b w:val="0"/>
          <w:bCs w:val="0"/>
          <w:snapToGrid w:val="0"/>
          <w:color w:val="auto"/>
          <w:kern w:val="0"/>
          <w:sz w:val="28"/>
          <w:szCs w:val="28"/>
          <w:highlight w:val="none"/>
          <w:lang w:val="en-US" w:eastAsia="zh-CN" w:bidi="ar-SA"/>
        </w:rPr>
      </w:pPr>
      <w:r>
        <w:rPr>
          <w:rFonts w:hint="eastAsia" w:ascii="宋体" w:hAnsi="宋体" w:eastAsia="宋体" w:cs="宋体"/>
          <w:b/>
          <w:bCs/>
          <w:color w:val="auto"/>
          <w:sz w:val="28"/>
          <w:szCs w:val="28"/>
          <w:highlight w:val="none"/>
          <w:lang w:val="en-US" w:eastAsia="zh-CN"/>
        </w:rPr>
        <w:t>（五）验收要求：</w:t>
      </w:r>
      <w:r>
        <w:rPr>
          <w:rFonts w:hint="default" w:ascii="宋体" w:hAnsi="宋体" w:eastAsia="Arial" w:cs="宋体"/>
          <w:b w:val="0"/>
          <w:bCs w:val="0"/>
          <w:snapToGrid w:val="0"/>
          <w:color w:val="auto"/>
          <w:kern w:val="0"/>
          <w:sz w:val="28"/>
          <w:szCs w:val="28"/>
          <w:highlight w:val="none"/>
          <w:lang w:val="en-US" w:eastAsia="zh-CN" w:bidi="ar-SA"/>
        </w:rPr>
        <w:t>中标人签订合同后在招标人规定的时间内，必须将符合招标文件要求的所有合格货物送到指定地点，由采购人相关人员对所供货物进行数量清点和外观检查，并且对货物进行抽样送检，抽检频率为每种货物一年不少于四次，时间根据采购批次不定期抽检，货物每次型号随机抽取一组材料样品送检，相关送检费用由供应商承担。必要时，采购单位可邀请相关质量监督部门或第三方检测单位对中标供应商所供货物进行验收及检测，检测费用由中标供应商负责，如验收或检测发现所供货物不合格，视为验收不合格，终止合同履行，履约保证金不予退还。</w:t>
      </w:r>
    </w:p>
    <w:p w14:paraId="650FF663">
      <w:pPr>
        <w:adjustRightInd w:val="0"/>
        <w:snapToGrid w:val="0"/>
        <w:spacing w:line="500" w:lineRule="exact"/>
        <w:ind w:firstLine="562" w:firstLineChars="200"/>
        <w:jc w:val="left"/>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w:t>
      </w:r>
      <w:r>
        <w:rPr>
          <w:rFonts w:hint="eastAsia" w:ascii="宋体" w:hAnsi="宋体" w:cs="宋体"/>
          <w:b/>
          <w:bCs/>
          <w:color w:val="auto"/>
          <w:sz w:val="28"/>
          <w:szCs w:val="28"/>
          <w:highlight w:val="none"/>
          <w:lang w:val="en-US" w:eastAsia="zh-CN"/>
        </w:rPr>
        <w:t>报价要求及其他事项：</w:t>
      </w:r>
    </w:p>
    <w:p w14:paraId="68C7C9A0">
      <w:pPr>
        <w:adjustRightInd w:val="0"/>
        <w:snapToGrid w:val="0"/>
        <w:spacing w:line="500" w:lineRule="exact"/>
        <w:ind w:firstLine="560" w:firstLineChars="200"/>
        <w:jc w:val="left"/>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1、本项目采取固定单价报价，各投标人每项的分项综合单价报价与分项最高限价相比的下浮率必须一致。</w:t>
      </w:r>
    </w:p>
    <w:p w14:paraId="62047C8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本项目为固定综合单价报价，供应商的投标报价中含采购等所发生的各种费用，包括(但不限于)所有产品、产品的制作费、运输费用、卸货费、上下力资的费用、13%增值税、售后服务等所有费用，即招标物交付使用前的所有费用以及免保期内的服务费用等；但在执行合同过程中如发现有任何漏项和短缺，在发货清单中并未列入而且确实是成交供应商供货范围中应该有的，并且是满足合同技术协议对合同设备的性能保证值要求所必须的，均应由成交供应商及时补上，且不发生费用问题，请各供应商在报价时充分考虑各种因素。运输及装卸过程中的材料损耗由供应商承担。</w:t>
      </w:r>
    </w:p>
    <w:p w14:paraId="3EF79AB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3、进口产品：在招标文件中如未明确需要进口产品，所投产品中含进口产品的，投标人必须在中标后按规定办理准许使用进口产品的报批手续。</w:t>
      </w:r>
    </w:p>
    <w:p w14:paraId="345555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四、采购标的的其他技术、服务等要求</w:t>
      </w:r>
    </w:p>
    <w:p w14:paraId="521702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469DE5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品目清单见《关于印发环境标志产品政府采购品目清单的通知》（财库〔2019〕18号）、《关于印发节能产品政府采购品目清单的通知》（财库〔2019〕19号）。</w:t>
      </w:r>
    </w:p>
    <w:p w14:paraId="25ED06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需求标准见《商品包装政府采购需求标准（试行）》《快递包装政府采购需求标准（试行）》（财办库〔2020〕123号）、《绿色数据中心政府采购需求标准（试行）》（财库〔2023〕7号）。</w:t>
      </w:r>
    </w:p>
    <w:p w14:paraId="7CFEF4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4" w:firstLineChars="200"/>
        <w:textAlignment w:val="baseline"/>
        <w:outlineLvl w:val="3"/>
        <w:rPr>
          <w:rFonts w:ascii="宋体" w:hAnsi="宋体" w:eastAsia="宋体" w:cs="宋体"/>
          <w:b/>
          <w:bCs/>
          <w:color w:val="auto"/>
          <w:spacing w:val="-12"/>
          <w:sz w:val="28"/>
          <w:szCs w:val="28"/>
          <w:highlight w:val="none"/>
        </w:rPr>
      </w:pPr>
      <w:r>
        <w:rPr>
          <w:rFonts w:ascii="宋体" w:hAnsi="宋体" w:eastAsia="宋体" w:cs="宋体"/>
          <w:b/>
          <w:bCs/>
          <w:color w:val="auto"/>
          <w:spacing w:val="-12"/>
          <w:sz w:val="28"/>
          <w:szCs w:val="28"/>
          <w:highlight w:val="none"/>
        </w:rPr>
        <w:t>五、付款方式：</w:t>
      </w:r>
    </w:p>
    <w:p w14:paraId="2CBD795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本次采购量为预估量，最终结算按每次实际采购量计，每次供货完毕并经验收合格后，买方通知并收到卖方相应的增值税专用发票后30天内支付该批订单的90%货款，合同期内所供货物的余款10%于合同期结束满3年后，经采购单位认可后一次性结清。</w:t>
      </w:r>
    </w:p>
    <w:p w14:paraId="6AF2F07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注：乙方申请付款的程序应符合甲方的财务规定。</w:t>
      </w:r>
    </w:p>
    <w:p w14:paraId="0840A44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8" w:firstLineChars="200"/>
        <w:textAlignment w:val="baseline"/>
        <w:outlineLvl w:val="3"/>
        <w:rPr>
          <w:rFonts w:ascii="宋体" w:hAnsi="宋体" w:eastAsia="宋体" w:cs="宋体"/>
          <w:b/>
          <w:bCs/>
          <w:color w:val="auto"/>
          <w:spacing w:val="-11"/>
          <w:sz w:val="28"/>
          <w:szCs w:val="28"/>
          <w:highlight w:val="none"/>
        </w:rPr>
      </w:pPr>
    </w:p>
    <w:p w14:paraId="6B90007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8" w:firstLineChars="200"/>
        <w:textAlignment w:val="baseline"/>
        <w:outlineLvl w:val="3"/>
        <w:rPr>
          <w:rFonts w:ascii="宋体" w:hAnsi="宋体" w:eastAsia="宋体" w:cs="宋体"/>
          <w:b/>
          <w:bCs/>
          <w:color w:val="auto"/>
          <w:spacing w:val="-11"/>
          <w:sz w:val="28"/>
          <w:szCs w:val="28"/>
          <w:highlight w:val="none"/>
        </w:rPr>
      </w:pPr>
    </w:p>
    <w:p w14:paraId="225986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8" w:firstLineChars="200"/>
        <w:textAlignment w:val="baseline"/>
        <w:outlineLvl w:val="3"/>
        <w:rPr>
          <w:rFonts w:ascii="宋体" w:hAnsi="宋体" w:eastAsia="宋体" w:cs="宋体"/>
          <w:color w:val="auto"/>
          <w:sz w:val="28"/>
          <w:szCs w:val="28"/>
          <w:highlight w:val="none"/>
        </w:rPr>
      </w:pPr>
      <w:r>
        <w:rPr>
          <w:rFonts w:ascii="宋体" w:hAnsi="宋体" w:eastAsia="宋体" w:cs="宋体"/>
          <w:b/>
          <w:bCs/>
          <w:color w:val="auto"/>
          <w:spacing w:val="-11"/>
          <w:sz w:val="28"/>
          <w:szCs w:val="28"/>
          <w:highlight w:val="none"/>
        </w:rPr>
        <w:t>六、履约保证金：</w:t>
      </w:r>
    </w:p>
    <w:p w14:paraId="20572E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w:t>
      </w:r>
      <w:r>
        <w:rPr>
          <w:rFonts w:hint="eastAsia" w:ascii="宋体" w:hAnsi="宋体" w:eastAsia="宋体" w:cs="宋体"/>
          <w:color w:val="auto"/>
          <w:spacing w:val="-6"/>
          <w:sz w:val="28"/>
          <w:szCs w:val="28"/>
          <w:highlight w:val="none"/>
          <w:lang w:val="en-US" w:eastAsia="zh-CN"/>
        </w:rPr>
        <w:t>本项目中标后的履约保证金为项目成交价的</w:t>
      </w:r>
      <w:r>
        <w:rPr>
          <w:rFonts w:hint="default" w:ascii="宋体" w:hAnsi="宋体" w:eastAsia="宋体" w:cs="宋体"/>
          <w:color w:val="auto"/>
          <w:spacing w:val="-6"/>
          <w:sz w:val="28"/>
          <w:szCs w:val="28"/>
          <w:highlight w:val="none"/>
          <w:lang w:val="en-US" w:eastAsia="zh-CN"/>
        </w:rPr>
        <w:t>10%</w:t>
      </w:r>
      <w:r>
        <w:rPr>
          <w:rFonts w:hint="eastAsia" w:ascii="宋体" w:hAnsi="宋体" w:eastAsia="宋体" w:cs="宋体"/>
          <w:color w:val="auto"/>
          <w:spacing w:val="-6"/>
          <w:sz w:val="28"/>
          <w:szCs w:val="28"/>
          <w:highlight w:val="none"/>
          <w:lang w:val="en-US" w:eastAsia="zh-CN"/>
        </w:rPr>
        <w:t>，中标供应商的履约保证金须在成交通知书发出之日起至合同签订前汇入采购单位账户（应当以数字人民币、银行转账、网银、电汇、支票、本票、汇票、银行保函、保险保函等形式提交），中标供应商凭中标通知书与采购单位签订合同。超过中标通知书发出之日起</w:t>
      </w:r>
      <w:r>
        <w:rPr>
          <w:rFonts w:hint="default" w:ascii="宋体" w:hAnsi="宋体" w:eastAsia="宋体" w:cs="宋体"/>
          <w:color w:val="auto"/>
          <w:spacing w:val="-6"/>
          <w:sz w:val="28"/>
          <w:szCs w:val="28"/>
          <w:highlight w:val="none"/>
          <w:lang w:val="en-US" w:eastAsia="zh-CN"/>
        </w:rPr>
        <w:t>30</w:t>
      </w:r>
      <w:r>
        <w:rPr>
          <w:rFonts w:hint="eastAsia" w:ascii="宋体" w:hAnsi="宋体" w:eastAsia="宋体" w:cs="宋体"/>
          <w:color w:val="auto"/>
          <w:spacing w:val="-6"/>
          <w:sz w:val="28"/>
          <w:szCs w:val="28"/>
          <w:highlight w:val="none"/>
          <w:lang w:val="en-US" w:eastAsia="zh-CN"/>
        </w:rPr>
        <w:t>日未缴纳履约保证金，则视为自动放弃成交资格，采购人可以取消其中标资格。</w:t>
      </w:r>
    </w:p>
    <w:p w14:paraId="0E3DA6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lang w:val="en-US" w:eastAsia="zh-CN"/>
        </w:rPr>
        <w:t>2、中标供应商全部履约合同义务，经采购单位验收合格无质量、进度等问题的，采购人在验收合格后一次性退还履约保证金。</w:t>
      </w:r>
    </w:p>
    <w:p w14:paraId="3E961D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lang w:val="en-US" w:eastAsia="zh-CN"/>
        </w:rPr>
        <w:t>3、发生以下情况的，履约保证金不予退还或部分退还：</w:t>
      </w:r>
    </w:p>
    <w:p w14:paraId="3127228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default" w:ascii="宋体" w:hAnsi="宋体" w:eastAsia="宋体" w:cs="宋体"/>
          <w:color w:val="auto"/>
          <w:spacing w:val="-6"/>
          <w:sz w:val="28"/>
          <w:szCs w:val="28"/>
          <w:highlight w:val="none"/>
          <w:lang w:val="en-US" w:eastAsia="zh-CN"/>
        </w:rPr>
        <w:t>a.</w:t>
      </w:r>
      <w:r>
        <w:rPr>
          <w:rFonts w:hint="eastAsia" w:ascii="宋体" w:hAnsi="宋体" w:eastAsia="宋体" w:cs="宋体"/>
          <w:color w:val="auto"/>
          <w:spacing w:val="-6"/>
          <w:sz w:val="28"/>
          <w:szCs w:val="28"/>
          <w:highlight w:val="none"/>
          <w:lang w:val="en-US" w:eastAsia="zh-CN"/>
        </w:rPr>
        <w:t>签订合同后，中标供应商不履行合同义务的，采购单位有权全额扣除履约保证金，全额不予退还，同时采购单位亦有权终止合同，中标供应商还须承担相应的法律赔偿责任。</w:t>
      </w:r>
    </w:p>
    <w:p w14:paraId="4BA3761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ascii="宋体" w:hAnsi="宋体" w:eastAsia="宋体" w:cs="宋体"/>
          <w:color w:val="auto"/>
          <w:sz w:val="28"/>
          <w:szCs w:val="28"/>
          <w:highlight w:val="none"/>
        </w:rPr>
      </w:pPr>
      <w:r>
        <w:rPr>
          <w:rFonts w:hint="default" w:ascii="宋体" w:hAnsi="宋体" w:eastAsia="宋体" w:cs="宋体"/>
          <w:color w:val="auto"/>
          <w:spacing w:val="-6"/>
          <w:sz w:val="28"/>
          <w:szCs w:val="28"/>
          <w:highlight w:val="none"/>
          <w:lang w:val="en-US" w:eastAsia="zh-CN"/>
        </w:rPr>
        <w:t>b.</w:t>
      </w:r>
      <w:r>
        <w:rPr>
          <w:rFonts w:hint="eastAsia" w:ascii="宋体" w:hAnsi="宋体" w:eastAsia="宋体" w:cs="宋体"/>
          <w:color w:val="auto"/>
          <w:spacing w:val="-6"/>
          <w:sz w:val="28"/>
          <w:szCs w:val="28"/>
          <w:highlight w:val="none"/>
          <w:lang w:val="en-US" w:eastAsia="zh-CN"/>
        </w:rPr>
        <w:t>中标供应商在履约过程中发生违约行为，给采购单位造成损失的，采购单位有权在中标供应商缴纳的履约保证金中予以扣款，以弥补采购单位经济损失，不足的部分中标供应商另外补齐。</w:t>
      </w:r>
    </w:p>
    <w:p w14:paraId="109EE6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七、本项目不接受进口产品响应。</w:t>
      </w:r>
    </w:p>
    <w:p w14:paraId="65FA60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八、合同条款</w:t>
      </w:r>
    </w:p>
    <w:p w14:paraId="4340EE5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w:t>
      </w:r>
      <w:r>
        <w:rPr>
          <w:rFonts w:hint="eastAsia" w:ascii="宋体" w:hAnsi="宋体" w:eastAsia="宋体" w:cs="宋体"/>
          <w:color w:val="auto"/>
          <w:sz w:val="28"/>
          <w:szCs w:val="28"/>
          <w:highlight w:val="none"/>
          <w:u w:val="single"/>
        </w:rPr>
        <w:t>启东市自来水厂有限公司</w:t>
      </w:r>
    </w:p>
    <w:p w14:paraId="3726690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供货方：</w:t>
      </w:r>
      <w:r>
        <w:rPr>
          <w:rFonts w:hint="eastAsia" w:ascii="宋体" w:hAnsi="宋体" w:eastAsia="宋体" w:cs="宋体"/>
          <w:color w:val="auto"/>
          <w:sz w:val="28"/>
          <w:szCs w:val="28"/>
          <w:highlight w:val="none"/>
          <w:u w:val="single"/>
        </w:rPr>
        <w:t xml:space="preserve">       　　　　       </w:t>
      </w:r>
    </w:p>
    <w:p w14:paraId="3B0EC9C5">
      <w:pPr>
        <w:keepNext w:val="0"/>
        <w:keepLines w:val="0"/>
        <w:pageBreakBefore w:val="0"/>
        <w:widowControl w:val="0"/>
        <w:kinsoku/>
        <w:wordWrap/>
        <w:overflowPunct/>
        <w:topLinePunct w:val="0"/>
        <w:autoSpaceDE/>
        <w:autoSpaceDN/>
        <w:bidi w:val="0"/>
        <w:adjustRightInd w:val="0"/>
        <w:snapToGrid w:val="0"/>
        <w:spacing w:line="50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买卖双方依据中标通知书内容：采购方</w:t>
      </w:r>
      <w:r>
        <w:rPr>
          <w:rFonts w:hint="eastAsia" w:ascii="宋体" w:hAnsi="宋体" w:eastAsia="宋体" w:cs="宋体"/>
          <w:color w:val="auto"/>
          <w:sz w:val="28"/>
          <w:szCs w:val="28"/>
          <w:highlight w:val="none"/>
          <w:u w:val="single"/>
        </w:rPr>
        <w:t xml:space="preserve">启东市自来水厂有限公司 </w:t>
      </w:r>
      <w:r>
        <w:rPr>
          <w:rFonts w:hint="eastAsia" w:ascii="宋体" w:hAnsi="宋体" w:eastAsia="宋体" w:cs="宋体"/>
          <w:color w:val="auto"/>
          <w:sz w:val="28"/>
          <w:szCs w:val="28"/>
          <w:highlight w:val="none"/>
        </w:rPr>
        <w:t>（以下简称采购方或买方）就采购方所需与供货方</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（以下简称供货方或卖方）签订货物供货合同。相关具体商务及技术条款如下：</w:t>
      </w:r>
    </w:p>
    <w:p w14:paraId="3DD80E79">
      <w:pPr>
        <w:keepNext w:val="0"/>
        <w:keepLines w:val="0"/>
        <w:pageBreakBefore w:val="0"/>
        <w:widowControl w:val="0"/>
        <w:kinsoku/>
        <w:wordWrap/>
        <w:overflowPunct/>
        <w:topLinePunct w:val="0"/>
        <w:autoSpaceDE/>
        <w:autoSpaceDN/>
        <w:bidi w:val="0"/>
        <w:adjustRightInd w:val="0"/>
        <w:snapToGrid w:val="0"/>
        <w:spacing w:line="500" w:lineRule="exact"/>
        <w:ind w:firstLine="453" w:firstLineChars="161"/>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一、商务条款</w:t>
      </w:r>
    </w:p>
    <w:p w14:paraId="7EBD616A">
      <w:pPr>
        <w:keepNext w:val="0"/>
        <w:keepLines w:val="0"/>
        <w:pageBreakBefore w:val="0"/>
        <w:widowControl w:val="0"/>
        <w:kinsoku/>
        <w:wordWrap/>
        <w:overflowPunct/>
        <w:topLinePunct w:val="0"/>
        <w:autoSpaceDE/>
        <w:autoSpaceDN/>
        <w:bidi w:val="0"/>
        <w:adjustRightInd w:val="0"/>
        <w:snapToGrid w:val="0"/>
        <w:spacing w:line="50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1.供货范围：</w:t>
      </w:r>
    </w:p>
    <w:p w14:paraId="0AFD66F0">
      <w:pPr>
        <w:keepNext w:val="0"/>
        <w:keepLines w:val="0"/>
        <w:pageBreakBefore w:val="0"/>
        <w:widowControl w:val="0"/>
        <w:kinsoku/>
        <w:wordWrap/>
        <w:overflowPunct/>
        <w:topLinePunct w:val="0"/>
        <w:autoSpaceDE/>
        <w:autoSpaceDN/>
        <w:bidi w:val="0"/>
        <w:adjustRightInd w:val="0"/>
        <w:snapToGrid w:val="0"/>
        <w:spacing w:line="500" w:lineRule="exact"/>
        <w:ind w:firstLine="450" w:firstLineChars="161"/>
        <w:textAlignment w:val="auto"/>
        <w:rPr>
          <w:rFonts w:hint="eastAsia"/>
          <w:color w:val="auto"/>
          <w:highlight w:val="none"/>
        </w:rPr>
      </w:pPr>
      <w:r>
        <w:rPr>
          <w:rFonts w:hint="eastAsia" w:ascii="宋体" w:hAnsi="宋体" w:eastAsia="宋体" w:cs="宋体"/>
          <w:color w:val="auto"/>
          <w:sz w:val="28"/>
          <w:szCs w:val="28"/>
          <w:highlight w:val="none"/>
        </w:rPr>
        <w:t>采购方订购的产品清单及</w:t>
      </w:r>
      <w:r>
        <w:rPr>
          <w:rFonts w:hint="eastAsia" w:ascii="宋体" w:hAnsi="宋体" w:eastAsia="宋体" w:cs="宋体"/>
          <w:bCs/>
          <w:color w:val="auto"/>
          <w:sz w:val="28"/>
          <w:szCs w:val="28"/>
          <w:highlight w:val="none"/>
        </w:rPr>
        <w:t>价格如下：</w:t>
      </w:r>
      <w:r>
        <w:rPr>
          <w:rFonts w:hint="eastAsia" w:ascii="宋体" w:hAnsi="宋体" w:eastAsia="宋体" w:cs="宋体"/>
          <w:bCs/>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单价：人民币元</w:t>
      </w:r>
    </w:p>
    <w:p w14:paraId="4B41C5A7">
      <w:pPr>
        <w:keepNext w:val="0"/>
        <w:keepLines w:val="0"/>
        <w:pageBreakBefore w:val="0"/>
        <w:widowControl w:val="0"/>
        <w:kinsoku/>
        <w:wordWrap/>
        <w:overflowPunct/>
        <w:topLinePunct w:val="0"/>
        <w:autoSpaceDE/>
        <w:autoSpaceDN/>
        <w:bidi w:val="0"/>
        <w:adjustRightInd w:val="0"/>
        <w:snapToGrid w:val="0"/>
        <w:spacing w:line="440" w:lineRule="exact"/>
        <w:ind w:firstLine="281" w:firstLineChars="100"/>
        <w:textAlignment w:val="auto"/>
        <w:rPr>
          <w:rFonts w:hint="eastAsia" w:ascii="宋体" w:hAnsi="宋体" w:eastAsia="宋体" w:cs="宋体"/>
          <w:b/>
          <w:bCs w:val="0"/>
          <w:color w:val="auto"/>
          <w:sz w:val="28"/>
          <w:szCs w:val="28"/>
          <w:highlight w:val="none"/>
        </w:rPr>
      </w:pPr>
    </w:p>
    <w:tbl>
      <w:tblPr>
        <w:tblStyle w:val="8"/>
        <w:tblW w:w="524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2"/>
        <w:gridCol w:w="1166"/>
        <w:gridCol w:w="1990"/>
        <w:gridCol w:w="751"/>
        <w:gridCol w:w="989"/>
        <w:gridCol w:w="1387"/>
        <w:gridCol w:w="1510"/>
        <w:gridCol w:w="945"/>
      </w:tblGrid>
      <w:tr w14:paraId="21A3D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802" w:type="dxa"/>
            <w:tcBorders>
              <w:top w:val="single" w:color="000000" w:sz="4" w:space="0"/>
              <w:left w:val="single" w:color="000000" w:sz="4" w:space="0"/>
              <w:bottom w:val="single" w:color="000000" w:sz="4" w:space="0"/>
              <w:right w:val="single" w:color="000000" w:sz="4" w:space="0"/>
            </w:tcBorders>
            <w:noWrap/>
            <w:vAlign w:val="center"/>
          </w:tcPr>
          <w:p w14:paraId="182FACC5">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序号</w:t>
            </w:r>
          </w:p>
        </w:tc>
        <w:tc>
          <w:tcPr>
            <w:tcW w:w="1166" w:type="dxa"/>
            <w:tcBorders>
              <w:top w:val="single" w:color="000000" w:sz="4" w:space="0"/>
              <w:left w:val="nil"/>
              <w:bottom w:val="single" w:color="000000" w:sz="4" w:space="0"/>
              <w:right w:val="single" w:color="000000" w:sz="4" w:space="0"/>
            </w:tcBorders>
            <w:noWrap w:val="0"/>
            <w:vAlign w:val="center"/>
          </w:tcPr>
          <w:p w14:paraId="0EB6E222">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材料</w:t>
            </w:r>
          </w:p>
          <w:p w14:paraId="35FE062B">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名称</w:t>
            </w:r>
          </w:p>
        </w:tc>
        <w:tc>
          <w:tcPr>
            <w:tcW w:w="1990" w:type="dxa"/>
            <w:tcBorders>
              <w:top w:val="single" w:color="000000" w:sz="4" w:space="0"/>
              <w:left w:val="nil"/>
              <w:bottom w:val="single" w:color="000000" w:sz="4" w:space="0"/>
              <w:right w:val="single" w:color="000000" w:sz="4" w:space="0"/>
            </w:tcBorders>
            <w:noWrap w:val="0"/>
            <w:vAlign w:val="center"/>
          </w:tcPr>
          <w:p w14:paraId="7510BD06">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规格/型号</w:t>
            </w:r>
          </w:p>
        </w:tc>
        <w:tc>
          <w:tcPr>
            <w:tcW w:w="751" w:type="dxa"/>
            <w:tcBorders>
              <w:top w:val="single" w:color="000000" w:sz="4" w:space="0"/>
              <w:left w:val="nil"/>
              <w:bottom w:val="single" w:color="000000" w:sz="4" w:space="0"/>
              <w:right w:val="single" w:color="000000" w:sz="4" w:space="0"/>
            </w:tcBorders>
            <w:noWrap w:val="0"/>
            <w:vAlign w:val="center"/>
          </w:tcPr>
          <w:p w14:paraId="24DA3DBB">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单位</w:t>
            </w:r>
          </w:p>
        </w:tc>
        <w:tc>
          <w:tcPr>
            <w:tcW w:w="989" w:type="dxa"/>
            <w:tcBorders>
              <w:top w:val="single" w:color="000000" w:sz="4" w:space="0"/>
              <w:left w:val="nil"/>
              <w:bottom w:val="single" w:color="000000" w:sz="4" w:space="0"/>
              <w:right w:val="single" w:color="000000" w:sz="4" w:space="0"/>
            </w:tcBorders>
            <w:noWrap w:val="0"/>
            <w:vAlign w:val="center"/>
          </w:tcPr>
          <w:p w14:paraId="34CFCE22">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预估</w:t>
            </w:r>
          </w:p>
          <w:p w14:paraId="6EE68046">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数量</w:t>
            </w:r>
          </w:p>
        </w:tc>
        <w:tc>
          <w:tcPr>
            <w:tcW w:w="1387" w:type="dxa"/>
            <w:tcBorders>
              <w:top w:val="single" w:color="000000" w:sz="4" w:space="0"/>
              <w:left w:val="nil"/>
              <w:bottom w:val="single" w:color="000000" w:sz="4" w:space="0"/>
              <w:right w:val="single" w:color="000000" w:sz="4" w:space="0"/>
            </w:tcBorders>
            <w:noWrap w:val="0"/>
            <w:vAlign w:val="center"/>
          </w:tcPr>
          <w:p w14:paraId="6C59C6A0">
            <w:pPr>
              <w:keepNext w:val="0"/>
              <w:keepLines w:val="0"/>
              <w:widowControl w:val="0"/>
              <w:suppressLineNumbers w:val="0"/>
              <w:autoSpaceDE w:val="0"/>
              <w:autoSpaceDN/>
              <w:spacing w:before="0" w:beforeAutospacing="0" w:after="0" w:afterAutospacing="0"/>
              <w:ind w:left="0" w:right="0" w:firstLine="0" w:firstLineChars="0"/>
              <w:jc w:val="center"/>
              <w:rPr>
                <w:rFonts w:hint="default"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品牌</w:t>
            </w:r>
          </w:p>
        </w:tc>
        <w:tc>
          <w:tcPr>
            <w:tcW w:w="1510" w:type="dxa"/>
            <w:tcBorders>
              <w:top w:val="single" w:color="000000" w:sz="4" w:space="0"/>
              <w:left w:val="nil"/>
              <w:bottom w:val="single" w:color="000000" w:sz="4" w:space="0"/>
              <w:right w:val="single" w:color="000000" w:sz="4" w:space="0"/>
            </w:tcBorders>
            <w:noWrap w:val="0"/>
            <w:vAlign w:val="center"/>
          </w:tcPr>
          <w:p w14:paraId="6B760B5B">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分项综合单价（元）</w:t>
            </w:r>
          </w:p>
        </w:tc>
        <w:tc>
          <w:tcPr>
            <w:tcW w:w="945" w:type="dxa"/>
            <w:tcBorders>
              <w:top w:val="single" w:color="000000" w:sz="4" w:space="0"/>
              <w:left w:val="nil"/>
              <w:bottom w:val="single" w:color="000000" w:sz="4" w:space="0"/>
              <w:right w:val="single" w:color="000000" w:sz="4" w:space="0"/>
            </w:tcBorders>
            <w:noWrap w:val="0"/>
            <w:vAlign w:val="center"/>
          </w:tcPr>
          <w:p w14:paraId="03853C03">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合计</w:t>
            </w:r>
          </w:p>
          <w:p w14:paraId="4DE6E67E">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（元）</w:t>
            </w:r>
          </w:p>
        </w:tc>
      </w:tr>
      <w:tr w14:paraId="3949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02" w:type="dxa"/>
            <w:tcBorders>
              <w:top w:val="single" w:color="000000" w:sz="4" w:space="0"/>
              <w:left w:val="single" w:color="000000" w:sz="4" w:space="0"/>
              <w:bottom w:val="single" w:color="000000" w:sz="4" w:space="0"/>
              <w:right w:val="single" w:color="000000" w:sz="4" w:space="0"/>
            </w:tcBorders>
            <w:noWrap/>
            <w:vAlign w:val="center"/>
          </w:tcPr>
          <w:p w14:paraId="77E73E68">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1166" w:type="dxa"/>
            <w:tcBorders>
              <w:top w:val="single" w:color="000000" w:sz="4" w:space="0"/>
              <w:left w:val="nil"/>
              <w:bottom w:val="single" w:color="000000" w:sz="4" w:space="0"/>
              <w:right w:val="single" w:color="000000" w:sz="4" w:space="0"/>
            </w:tcBorders>
            <w:noWrap w:val="0"/>
            <w:vAlign w:val="center"/>
          </w:tcPr>
          <w:p w14:paraId="141CA28B">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消防栓</w:t>
            </w:r>
          </w:p>
        </w:tc>
        <w:tc>
          <w:tcPr>
            <w:tcW w:w="1990" w:type="dxa"/>
            <w:tcBorders>
              <w:top w:val="single" w:color="000000" w:sz="4" w:space="0"/>
              <w:left w:val="nil"/>
              <w:bottom w:val="single" w:color="000000" w:sz="4" w:space="0"/>
              <w:right w:val="single" w:color="000000" w:sz="4" w:space="0"/>
            </w:tcBorders>
            <w:noWrap/>
            <w:vAlign w:val="center"/>
          </w:tcPr>
          <w:p w14:paraId="60FFC615">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DN100*1.6MPa</w:t>
            </w:r>
          </w:p>
        </w:tc>
        <w:tc>
          <w:tcPr>
            <w:tcW w:w="751" w:type="dxa"/>
            <w:tcBorders>
              <w:top w:val="single" w:color="000000" w:sz="4" w:space="0"/>
              <w:left w:val="nil"/>
              <w:bottom w:val="single" w:color="000000" w:sz="4" w:space="0"/>
              <w:right w:val="single" w:color="000000" w:sz="4" w:space="0"/>
            </w:tcBorders>
            <w:noWrap/>
            <w:vAlign w:val="center"/>
          </w:tcPr>
          <w:p w14:paraId="6BE9FF3C">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套</w:t>
            </w:r>
          </w:p>
        </w:tc>
        <w:tc>
          <w:tcPr>
            <w:tcW w:w="989" w:type="dxa"/>
            <w:tcBorders>
              <w:top w:val="single" w:color="000000" w:sz="4" w:space="0"/>
              <w:left w:val="nil"/>
              <w:bottom w:val="single" w:color="000000" w:sz="4" w:space="0"/>
              <w:right w:val="single" w:color="000000" w:sz="4" w:space="0"/>
            </w:tcBorders>
            <w:noWrap/>
            <w:vAlign w:val="center"/>
          </w:tcPr>
          <w:p w14:paraId="2059A352">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500</w:t>
            </w:r>
          </w:p>
        </w:tc>
        <w:tc>
          <w:tcPr>
            <w:tcW w:w="1387" w:type="dxa"/>
            <w:tcBorders>
              <w:top w:val="single" w:color="000000" w:sz="4" w:space="0"/>
              <w:left w:val="nil"/>
              <w:bottom w:val="single" w:color="000000" w:sz="4" w:space="0"/>
              <w:right w:val="single" w:color="000000" w:sz="4" w:space="0"/>
            </w:tcBorders>
            <w:noWrap w:val="0"/>
            <w:vAlign w:val="center"/>
          </w:tcPr>
          <w:p w14:paraId="23FFDA12">
            <w:pPr>
              <w:keepNext w:val="0"/>
              <w:keepLines w:val="0"/>
              <w:widowControl w:val="0"/>
              <w:suppressLineNumbers w:val="0"/>
              <w:autoSpaceDE w:val="0"/>
              <w:autoSpaceDN/>
              <w:spacing w:before="0" w:beforeAutospacing="0" w:after="0" w:afterAutospacing="0"/>
              <w:ind w:left="0" w:right="0" w:firstLine="0" w:firstLineChars="0"/>
              <w:jc w:val="both"/>
              <w:rPr>
                <w:rFonts w:hint="eastAsia" w:ascii="宋体" w:hAnsi="宋体" w:eastAsia="宋体" w:cs="宋体"/>
                <w:color w:val="auto"/>
                <w:kern w:val="2"/>
                <w:sz w:val="24"/>
                <w:szCs w:val="24"/>
                <w:highlight w:val="none"/>
              </w:rPr>
            </w:pPr>
          </w:p>
        </w:tc>
        <w:tc>
          <w:tcPr>
            <w:tcW w:w="1510" w:type="dxa"/>
            <w:tcBorders>
              <w:top w:val="single" w:color="000000" w:sz="4" w:space="0"/>
              <w:left w:val="nil"/>
              <w:bottom w:val="single" w:color="000000" w:sz="4" w:space="0"/>
              <w:right w:val="single" w:color="000000" w:sz="4" w:space="0"/>
            </w:tcBorders>
            <w:noWrap w:val="0"/>
            <w:vAlign w:val="center"/>
          </w:tcPr>
          <w:p w14:paraId="7DA9ACC2">
            <w:pPr>
              <w:keepNext w:val="0"/>
              <w:keepLines w:val="0"/>
              <w:widowControl w:val="0"/>
              <w:suppressLineNumbers w:val="0"/>
              <w:autoSpaceDE w:val="0"/>
              <w:autoSpaceDN/>
              <w:spacing w:before="0" w:beforeAutospacing="0" w:after="0" w:afterAutospacing="0"/>
              <w:ind w:left="0" w:right="0" w:firstLine="0" w:firstLineChars="0"/>
              <w:jc w:val="both"/>
              <w:rPr>
                <w:rFonts w:hint="eastAsia" w:ascii="宋体" w:hAnsi="宋体" w:eastAsia="宋体" w:cs="宋体"/>
                <w:color w:val="auto"/>
                <w:kern w:val="2"/>
                <w:sz w:val="24"/>
                <w:szCs w:val="24"/>
                <w:highlight w:val="none"/>
              </w:rPr>
            </w:pPr>
          </w:p>
        </w:tc>
        <w:tc>
          <w:tcPr>
            <w:tcW w:w="945" w:type="dxa"/>
            <w:tcBorders>
              <w:top w:val="single" w:color="000000" w:sz="4" w:space="0"/>
              <w:left w:val="nil"/>
              <w:bottom w:val="single" w:color="000000" w:sz="4" w:space="0"/>
              <w:right w:val="single" w:color="000000" w:sz="4" w:space="0"/>
            </w:tcBorders>
            <w:noWrap/>
            <w:vAlign w:val="center"/>
          </w:tcPr>
          <w:p w14:paraId="5549DB0E">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2EFFC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802" w:type="dxa"/>
            <w:tcBorders>
              <w:top w:val="single" w:color="000000" w:sz="4" w:space="0"/>
              <w:left w:val="single" w:color="000000" w:sz="4" w:space="0"/>
              <w:bottom w:val="single" w:color="000000" w:sz="4" w:space="0"/>
              <w:right w:val="single" w:color="000000" w:sz="4" w:space="0"/>
            </w:tcBorders>
            <w:noWrap/>
            <w:vAlign w:val="center"/>
          </w:tcPr>
          <w:p w14:paraId="74582EA8">
            <w:pPr>
              <w:keepNext w:val="0"/>
              <w:keepLines w:val="0"/>
              <w:widowControl w:val="0"/>
              <w:suppressLineNumbers w:val="0"/>
              <w:autoSpaceDE w:val="0"/>
              <w:autoSpaceDN/>
              <w:spacing w:before="0" w:beforeAutospacing="0" w:after="0" w:afterAutospacing="0"/>
              <w:ind w:left="0" w:right="0" w:firstLine="0" w:firstLineChars="0"/>
              <w:jc w:val="center"/>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w:t>
            </w:r>
          </w:p>
        </w:tc>
        <w:tc>
          <w:tcPr>
            <w:tcW w:w="1166" w:type="dxa"/>
            <w:tcBorders>
              <w:top w:val="single" w:color="000000" w:sz="4" w:space="0"/>
              <w:left w:val="nil"/>
              <w:bottom w:val="single" w:color="000000" w:sz="4" w:space="0"/>
              <w:right w:val="single" w:color="000000" w:sz="4" w:space="0"/>
            </w:tcBorders>
            <w:noWrap w:val="0"/>
            <w:vAlign w:val="center"/>
          </w:tcPr>
          <w:p w14:paraId="61B15010">
            <w:pPr>
              <w:keepNext w:val="0"/>
              <w:keepLines w:val="0"/>
              <w:widowControl w:val="0"/>
              <w:suppressLineNumbers w:val="0"/>
              <w:autoSpaceDE w:val="0"/>
              <w:autoSpaceDN/>
              <w:spacing w:before="0" w:beforeAutospacing="0" w:after="0" w:afterAutospacing="0"/>
              <w:ind w:left="0" w:right="0" w:firstLine="0" w:firstLineChars="0"/>
              <w:jc w:val="center"/>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总价</w:t>
            </w:r>
          </w:p>
        </w:tc>
        <w:tc>
          <w:tcPr>
            <w:tcW w:w="7572" w:type="dxa"/>
            <w:gridSpan w:val="6"/>
            <w:tcBorders>
              <w:top w:val="single" w:color="000000" w:sz="4" w:space="0"/>
              <w:left w:val="nil"/>
              <w:bottom w:val="single" w:color="000000" w:sz="4" w:space="0"/>
              <w:right w:val="single" w:color="000000" w:sz="4" w:space="0"/>
            </w:tcBorders>
            <w:noWrap/>
            <w:vAlign w:val="center"/>
          </w:tcPr>
          <w:p w14:paraId="0AB722D5">
            <w:pPr>
              <w:keepNext w:val="0"/>
              <w:keepLines w:val="0"/>
              <w:widowControl w:val="0"/>
              <w:suppressLineNumbers w:val="0"/>
              <w:autoSpaceDE w:val="0"/>
              <w:autoSpaceDN/>
              <w:spacing w:before="0" w:beforeAutospacing="0" w:after="0" w:afterAutospacing="0"/>
              <w:ind w:left="0" w:right="0" w:firstLine="240" w:firstLineChars="1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highlight w:val="none"/>
                <w:lang w:val="en-US" w:eastAsia="zh-CN"/>
              </w:rPr>
              <w:t>人民币大写：            元。</w:t>
            </w:r>
          </w:p>
        </w:tc>
      </w:tr>
    </w:tbl>
    <w:p w14:paraId="01E1DA7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备注：</w:t>
      </w:r>
    </w:p>
    <w:p w14:paraId="2DF97906">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（1）单价含13%增值税，含运费，含卸货费（详见合同价格条款）。</w:t>
      </w:r>
    </w:p>
    <w:p w14:paraId="60C96CBC">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（2）结算货款时以采购方实际购买数量和规格为准。</w:t>
      </w:r>
    </w:p>
    <w:p w14:paraId="7E87989E">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（3）本合同约定的采购量为预估数量（2025年5月26日-2026年5月25日），具体数量以采购方实际采购的数量为准，供货方式为少量多批次，供货方根据采购方的实际要求发货。</w:t>
      </w:r>
    </w:p>
    <w:p w14:paraId="24DFBF4A">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（4）合同期限内，合同单价不变。</w:t>
      </w:r>
    </w:p>
    <w:p w14:paraId="440770A2">
      <w:pPr>
        <w:keepNext w:val="0"/>
        <w:keepLines w:val="0"/>
        <w:pageBreakBefore w:val="0"/>
        <w:widowControl w:val="0"/>
        <w:kinsoku/>
        <w:wordWrap/>
        <w:overflowPunct/>
        <w:topLinePunct w:val="0"/>
        <w:autoSpaceDE/>
        <w:autoSpaceDN/>
        <w:bidi w:val="0"/>
        <w:adjustRightInd w:val="0"/>
        <w:snapToGrid w:val="0"/>
        <w:spacing w:line="440" w:lineRule="exact"/>
        <w:ind w:firstLine="281" w:firstLineChars="10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2.合同价格： </w:t>
      </w:r>
    </w:p>
    <w:p w14:paraId="1AEE5BE4">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合同单价中，包含了所有</w:t>
      </w:r>
      <w:r>
        <w:rPr>
          <w:rFonts w:hint="eastAsia" w:ascii="宋体" w:hAnsi="宋体" w:eastAsia="宋体" w:cs="宋体"/>
          <w:bCs/>
          <w:color w:val="auto"/>
          <w:sz w:val="28"/>
          <w:szCs w:val="28"/>
          <w:highlight w:val="none"/>
          <w:lang w:val="en-US" w:eastAsia="zh-CN"/>
        </w:rPr>
        <w:t>货物</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货物</w:t>
      </w:r>
      <w:r>
        <w:rPr>
          <w:rFonts w:hint="eastAsia" w:ascii="宋体" w:hAnsi="宋体" w:eastAsia="宋体" w:cs="宋体"/>
          <w:bCs/>
          <w:color w:val="auto"/>
          <w:sz w:val="28"/>
          <w:szCs w:val="28"/>
          <w:highlight w:val="none"/>
        </w:rPr>
        <w:t>的制作、</w:t>
      </w:r>
      <w:r>
        <w:rPr>
          <w:rFonts w:hint="eastAsia" w:ascii="宋体" w:hAnsi="宋体" w:eastAsia="宋体" w:cs="宋体"/>
          <w:bCs/>
          <w:color w:val="auto"/>
          <w:sz w:val="28"/>
          <w:szCs w:val="28"/>
          <w:highlight w:val="none"/>
          <w:lang w:val="en-US" w:eastAsia="zh-CN"/>
        </w:rPr>
        <w:t>运输（含上下人力费）、材料检测费、保险、装卸、配件、13%税金、现场安装技术指导、售后服务等所有费用，和政策性文件规定及合同包含的所有风险、责任等各项应有费用，即招标物交付使用前的所有费用以及免保期内的服务费用</w:t>
      </w:r>
      <w:r>
        <w:rPr>
          <w:rFonts w:hint="eastAsia" w:ascii="宋体" w:hAnsi="宋体" w:eastAsia="宋体" w:cs="宋体"/>
          <w:bCs/>
          <w:color w:val="auto"/>
          <w:sz w:val="28"/>
          <w:szCs w:val="28"/>
          <w:highlight w:val="none"/>
        </w:rPr>
        <w:t>等；但在执行合同过程中如发现有任何漏项和短缺，在发货清单中并未列入而且确实是卖方供货范围中应该有的，并且是满足合同技术协议对合同设备的性能保证值要求所必须的，均应由卖方及时补上，</w:t>
      </w:r>
      <w:r>
        <w:rPr>
          <w:rFonts w:hint="eastAsia" w:ascii="宋体" w:hAnsi="宋体" w:eastAsia="宋体" w:cs="宋体"/>
          <w:color w:val="auto"/>
          <w:sz w:val="28"/>
          <w:szCs w:val="28"/>
          <w:highlight w:val="none"/>
        </w:rPr>
        <w:t>且不发生费用问题。</w:t>
      </w:r>
    </w:p>
    <w:p w14:paraId="176B5086">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
          <w:bCs/>
          <w:color w:val="auto"/>
          <w:sz w:val="28"/>
          <w:szCs w:val="28"/>
          <w:highlight w:val="none"/>
        </w:rPr>
        <w:t>3.付款方式：</w:t>
      </w:r>
      <w:r>
        <w:rPr>
          <w:rFonts w:hint="eastAsia" w:ascii="宋体" w:hAnsi="宋体" w:eastAsia="宋体" w:cs="宋体"/>
          <w:bCs/>
          <w:color w:val="auto"/>
          <w:sz w:val="28"/>
          <w:szCs w:val="28"/>
          <w:highlight w:val="none"/>
          <w:lang w:val="en-US" w:eastAsia="zh-CN"/>
        </w:rPr>
        <w:t>本次采购量为预估量，最终结算按每次实际采购量计，每次供货完毕并经验收合格后，买方通知并收到卖方相应的增值税专用发票后30天内支付该批订单的90%货款，合同期内所供货物的余款10%于合同期结束满3年后，经采购单位认可后一次性结清。</w:t>
      </w:r>
    </w:p>
    <w:p w14:paraId="358234E3">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注：卖方申请付款的程序应符合买方的财务规定。</w:t>
      </w:r>
    </w:p>
    <w:p w14:paraId="0868E5BE">
      <w:pPr>
        <w:keepNext w:val="0"/>
        <w:keepLines w:val="0"/>
        <w:pageBreakBefore w:val="0"/>
        <w:widowControl w:val="0"/>
        <w:kinsoku/>
        <w:wordWrap/>
        <w:overflowPunct/>
        <w:topLinePunct w:val="0"/>
        <w:autoSpaceDE/>
        <w:autoSpaceDN/>
        <w:bidi w:val="0"/>
        <w:adjustRightInd w:val="0"/>
        <w:snapToGrid w:val="0"/>
        <w:spacing w:line="440" w:lineRule="exact"/>
        <w:ind w:firstLine="281" w:firstLineChars="1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履约保证金：</w:t>
      </w:r>
    </w:p>
    <w:p w14:paraId="1F00729D">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）本项目中标后的履约保证金为项目成交价的</w:t>
      </w:r>
      <w:r>
        <w:rPr>
          <w:rFonts w:hint="default"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   元），供货方的履约保证金须在成交通知书发出之日起至合同签订前汇入采购方账户（应当以数字人民币、银行转账、网银、电汇、支票、本票、汇票、银行保函、保险保函等形式提交），供货方凭中标通知书与采购方签订合同。超过中标通知书发出之日起</w:t>
      </w:r>
      <w:r>
        <w:rPr>
          <w:rFonts w:hint="default"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lang w:val="en-US" w:eastAsia="zh-CN"/>
        </w:rPr>
        <w:t>日未缴纳履约保证金，则视为自动放弃成交资格，采购方可以取消其中标资格。</w:t>
      </w:r>
    </w:p>
    <w:p w14:paraId="429CBDD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）供货方全部履约合同义务，经采购方验收合格无质量、进度等问题的，采购方在验收合格后一次性退还履约保证金。</w:t>
      </w:r>
    </w:p>
    <w:p w14:paraId="7F96D5E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）发生以下情况的，履约保证金不予退还或部分退还：</w:t>
      </w:r>
    </w:p>
    <w:p w14:paraId="1B05588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a.</w:t>
      </w:r>
      <w:r>
        <w:rPr>
          <w:rFonts w:hint="eastAsia" w:ascii="宋体" w:hAnsi="宋体" w:eastAsia="宋体" w:cs="宋体"/>
          <w:color w:val="auto"/>
          <w:sz w:val="28"/>
          <w:szCs w:val="28"/>
          <w:highlight w:val="none"/>
          <w:lang w:val="en-US" w:eastAsia="zh-CN"/>
        </w:rPr>
        <w:t>签订合同后，供货方不履行合同义务的，采购方有权全额扣除履约保证金，全额不予退还，同时采购方亦有权终止合同，供货方还须承担相应的法律赔偿责任。</w:t>
      </w:r>
    </w:p>
    <w:p w14:paraId="62E97AD1">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b.</w:t>
      </w:r>
      <w:r>
        <w:rPr>
          <w:rFonts w:hint="eastAsia" w:ascii="宋体" w:hAnsi="宋体" w:eastAsia="宋体" w:cs="宋体"/>
          <w:color w:val="auto"/>
          <w:sz w:val="28"/>
          <w:szCs w:val="28"/>
          <w:highlight w:val="none"/>
          <w:lang w:val="en-US" w:eastAsia="zh-CN"/>
        </w:rPr>
        <w:t>供货方在履约过程中发生违约行为，给采购方造成损失的，采购方有权在供货方缴纳的履约保证金中予以扣款，以弥补采购方经济损失，不足的部分供货方另外补齐。</w:t>
      </w:r>
    </w:p>
    <w:p w14:paraId="6B10DE17">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5.交货日期、地点：</w:t>
      </w:r>
    </w:p>
    <w:p w14:paraId="326CDAB6">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合同交货期为供货方接到采购方通知一周之内或根据采购方订单要求的时间内完成送货及安装 ，以最后一批货物到达指定到货地点开箱验收后为准。交货地点：</w:t>
      </w:r>
      <w:r>
        <w:rPr>
          <w:rFonts w:hint="eastAsia" w:ascii="宋体" w:hAnsi="宋体" w:eastAsia="宋体" w:cs="宋体"/>
          <w:bCs/>
          <w:color w:val="auto"/>
          <w:sz w:val="28"/>
          <w:szCs w:val="28"/>
          <w:highlight w:val="none"/>
          <w:lang w:val="en-US" w:eastAsia="zh-CN"/>
        </w:rPr>
        <w:t>运输并卸货至采购</w:t>
      </w:r>
      <w:r>
        <w:rPr>
          <w:rFonts w:hint="eastAsia" w:ascii="宋体" w:hAnsi="宋体" w:cs="宋体"/>
          <w:bCs/>
          <w:color w:val="auto"/>
          <w:sz w:val="28"/>
          <w:szCs w:val="28"/>
          <w:highlight w:val="none"/>
          <w:lang w:val="en-US" w:eastAsia="zh-CN"/>
        </w:rPr>
        <w:t>方</w:t>
      </w:r>
      <w:r>
        <w:rPr>
          <w:rFonts w:hint="eastAsia" w:ascii="宋体" w:hAnsi="宋体" w:eastAsia="宋体" w:cs="宋体"/>
          <w:bCs/>
          <w:color w:val="auto"/>
          <w:sz w:val="28"/>
          <w:szCs w:val="28"/>
          <w:highlight w:val="none"/>
          <w:lang w:val="en-US" w:eastAsia="zh-CN"/>
        </w:rPr>
        <w:t>指定地点，并指导安装</w:t>
      </w:r>
      <w:r>
        <w:rPr>
          <w:rFonts w:hint="eastAsia" w:ascii="宋体" w:hAnsi="宋体" w:eastAsia="宋体" w:cs="宋体"/>
          <w:bCs/>
          <w:color w:val="auto"/>
          <w:sz w:val="28"/>
          <w:szCs w:val="28"/>
          <w:highlight w:val="none"/>
        </w:rPr>
        <w:t>；供货方负责货物运输，供货方发货后24小时内，应将该货物规格数量、运输方式及发货日期，以传真方式通知采购方，以便做好接货工作。</w:t>
      </w:r>
    </w:p>
    <w:p w14:paraId="2DEFBD7B">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6.包装与运输：</w:t>
      </w:r>
    </w:p>
    <w:p w14:paraId="237456A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6.1设备包装应按国家标准或部颁标准执行。由于包装不善引起的货物锈蚀、损坏和减少均由供货方承担；发货同时应附一份详细清单和质量合格证；</w:t>
      </w:r>
    </w:p>
    <w:p w14:paraId="2934716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6.2供货方安排运输并承担全部运输费用和货物在途的运输风险以及运输所导致的事故责任。</w:t>
      </w:r>
    </w:p>
    <w:p w14:paraId="29E86024">
      <w:pPr>
        <w:pStyle w:val="2"/>
        <w:keepNext w:val="0"/>
        <w:keepLines w:val="0"/>
        <w:pageBreakBefore w:val="0"/>
        <w:widowControl w:val="0"/>
        <w:kinsoku/>
        <w:wordWrap/>
        <w:overflowPunct/>
        <w:topLinePunct w:val="0"/>
        <w:autoSpaceDE/>
        <w:autoSpaceDN/>
        <w:bidi w:val="0"/>
        <w:spacing w:after="0" w:line="440" w:lineRule="exact"/>
        <w:ind w:firstLine="420" w:firstLineChars="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6.3卸货过程中造成的货物破损、安全责任事故等多种情况均由供货方承担所有责任与赔偿。</w:t>
      </w:r>
    </w:p>
    <w:p w14:paraId="72DD6E07">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Cs/>
          <w:color w:val="auto"/>
          <w:sz w:val="28"/>
          <w:szCs w:val="28"/>
          <w:highlight w:val="none"/>
        </w:rPr>
      </w:pPr>
      <w:r>
        <w:rPr>
          <w:rFonts w:hint="eastAsia" w:ascii="宋体" w:hAnsi="宋体" w:eastAsia="宋体" w:cs="宋体"/>
          <w:b/>
          <w:bCs w:val="0"/>
          <w:color w:val="auto"/>
          <w:sz w:val="28"/>
          <w:szCs w:val="28"/>
          <w:highlight w:val="none"/>
        </w:rPr>
        <w:t>7.保险：</w:t>
      </w:r>
      <w:r>
        <w:rPr>
          <w:rFonts w:hint="eastAsia" w:ascii="宋体" w:hAnsi="宋体" w:eastAsia="宋体" w:cs="宋体"/>
          <w:color w:val="auto"/>
          <w:sz w:val="28"/>
          <w:szCs w:val="28"/>
          <w:highlight w:val="none"/>
        </w:rPr>
        <w:t>货物本身及运输由供货方办理保险，其费用由供货方承担。</w:t>
      </w:r>
    </w:p>
    <w:p w14:paraId="2C8A26B8">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8.质量要求：</w:t>
      </w:r>
    </w:p>
    <w:p w14:paraId="5AC3FA9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8.1供货方须提供符合采购需求、符合国家质量检测标准的全新未使用过的原装合格产品，产品质量符合招标文件要求、行业及国家标准（供货时提供相关证明材料、有效产品合格证）。</w:t>
      </w:r>
    </w:p>
    <w:p w14:paraId="0008ACA9">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质保期及售后服务</w:t>
      </w:r>
    </w:p>
    <w:p w14:paraId="55A3A89A">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.1质保期：自采购方对当批货物验收合格且正式正常运行之日起不少于</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年（质保期及免费维保期在标书中注明）</w:t>
      </w:r>
      <w:r>
        <w:rPr>
          <w:rFonts w:hint="eastAsia" w:ascii="宋体" w:hAnsi="宋体" w:eastAsia="宋体" w:cs="宋体"/>
          <w:color w:val="auto"/>
          <w:sz w:val="28"/>
          <w:szCs w:val="28"/>
          <w:highlight w:val="none"/>
          <w:lang w:val="en-US" w:eastAsia="zh-CN"/>
        </w:rPr>
        <w:t>（原厂质保期高于供货方承诺质保期的，按原厂质保期计算。自验收合格报告签字确认日起，开始进入质保期）</w:t>
      </w:r>
      <w:r>
        <w:rPr>
          <w:rFonts w:hint="eastAsia" w:ascii="宋体" w:hAnsi="宋体" w:eastAsia="宋体" w:cs="宋体"/>
          <w:color w:val="auto"/>
          <w:sz w:val="28"/>
          <w:szCs w:val="28"/>
          <w:highlight w:val="none"/>
        </w:rPr>
        <w:t>。</w:t>
      </w:r>
    </w:p>
    <w:p w14:paraId="7ED34FCE">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2质保期内，因供货方所供货物的制造质量出现问题（包含消防栓表面褪色、关不死等情况），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启东水司的采购项目。</w:t>
      </w:r>
    </w:p>
    <w:p w14:paraId="3960E0C7">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如消防栓表面褪色、关不死等情况，出现一次，进行修复（更换后），第二次仍出现上述问题，采购方有权终止合同，并向供货方索赔。</w:t>
      </w:r>
    </w:p>
    <w:p w14:paraId="1ABDBB27">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.3质保期满后，出现故障时，供货方仍应按上述时限派人员赶到采购方现场，帮助排除故障、修复或更换零部件；其余按维保协议执行。</w:t>
      </w:r>
    </w:p>
    <w:p w14:paraId="548335D7">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.4供货方应提供货物的最低使用年限【 】年，在此期间内，不应发生非人为操作原因的重大故障，否则，采购方有权追溯供货方的责任。</w:t>
      </w:r>
    </w:p>
    <w:p w14:paraId="26B65DFD">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rPr>
        <w:t>.违约责任：</w:t>
      </w:r>
    </w:p>
    <w:p w14:paraId="184D7BC9">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.1由于不可抗拒力的原因造成无法及时供货或足量供货，双方可协商解决。违约方承担违约责任，由于法律规定的不可抗力事件造成的无法履约不承担违约责任。</w:t>
      </w:r>
    </w:p>
    <w:p w14:paraId="627C03B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.2在合同期内价格一律不得变动。因价格上涨供货方执意不发货，造成采购方的一切损失（含违约责任）由供货方全部承担，并没收合同履约保证金。</w:t>
      </w:r>
    </w:p>
    <w:p w14:paraId="69F3F9D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3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5225057B">
      <w:pPr>
        <w:pStyle w:val="2"/>
        <w:keepNext w:val="0"/>
        <w:keepLines w:val="0"/>
        <w:pageBreakBefore w:val="0"/>
        <w:widowControl w:val="0"/>
        <w:kinsoku/>
        <w:wordWrap/>
        <w:overflowPunct/>
        <w:topLinePunct w:val="0"/>
        <w:autoSpaceDE/>
        <w:autoSpaceDN/>
        <w:bidi w:val="0"/>
        <w:spacing w:after="0"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rPr>
        <w:t xml:space="preserve">   </w:t>
      </w:r>
      <w:r>
        <w:rPr>
          <w:rFonts w:hint="eastAsia" w:ascii="宋体" w:hAnsi="宋体" w:eastAsia="宋体" w:cs="宋体"/>
          <w:color w:val="auto"/>
          <w:kern w:val="2"/>
          <w:sz w:val="28"/>
          <w:szCs w:val="28"/>
          <w:highlight w:val="none"/>
          <w:lang w:val="en-US" w:eastAsia="zh-CN"/>
        </w:rPr>
        <w:t>10</w:t>
      </w:r>
      <w:r>
        <w:rPr>
          <w:rFonts w:hint="eastAsia" w:ascii="宋体" w:hAnsi="宋体" w:eastAsia="宋体" w:cs="宋体"/>
          <w:color w:val="auto"/>
          <w:kern w:val="2"/>
          <w:sz w:val="28"/>
          <w:szCs w:val="28"/>
          <w:highlight w:val="none"/>
        </w:rPr>
        <w:t>.4若供货方提交的产品不符合合同要求的，供货方应在采购方要求的时间内重新提交，逾期仍未提交或者提交的产品仍不符合合同要求的，采购方有权终止本合同，没收全额履约保证金，并有权要求供货方承</w:t>
      </w:r>
      <w:r>
        <w:rPr>
          <w:rFonts w:hint="eastAsia" w:ascii="宋体" w:hAnsi="宋体" w:eastAsia="宋体" w:cs="宋体"/>
          <w:color w:val="auto"/>
          <w:sz w:val="28"/>
          <w:szCs w:val="28"/>
          <w:highlight w:val="none"/>
        </w:rPr>
        <w:t>担该笔订单金额的30%作为违约金。</w:t>
      </w:r>
    </w:p>
    <w:p w14:paraId="07DA84A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.5供货方在货到现场时必须通知采购方，待验收合格后方可交付。</w:t>
      </w:r>
    </w:p>
    <w:p w14:paraId="139DDD1F">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.6供货方不能交货或不能按标书要求满足采购方技术要求，给采购方造成损失的，供货方还应双倍返还采购方支付的货款。同时采购方保留对供货方追究由此而造成的一切经济损失。</w:t>
      </w:r>
    </w:p>
    <w:p w14:paraId="04F649E3">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1</w:t>
      </w:r>
      <w:r>
        <w:rPr>
          <w:rFonts w:hint="eastAsia" w:ascii="宋体" w:hAnsi="宋体" w:eastAsia="宋体" w:cs="宋体"/>
          <w:b/>
          <w:bCs w:val="0"/>
          <w:color w:val="auto"/>
          <w:sz w:val="28"/>
          <w:szCs w:val="28"/>
          <w:highlight w:val="none"/>
          <w:lang w:val="en-US" w:eastAsia="zh-CN"/>
        </w:rPr>
        <w:t>1</w:t>
      </w:r>
      <w:r>
        <w:rPr>
          <w:rFonts w:hint="eastAsia" w:ascii="宋体" w:hAnsi="宋体" w:eastAsia="宋体" w:cs="宋体"/>
          <w:b/>
          <w:bCs w:val="0"/>
          <w:color w:val="auto"/>
          <w:sz w:val="28"/>
          <w:szCs w:val="28"/>
          <w:highlight w:val="none"/>
        </w:rPr>
        <w:t>.合同的解除和变更</w:t>
      </w:r>
    </w:p>
    <w:p w14:paraId="7E4F2FE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1合同生效后，双方应按照合同约定的条款共同遵守，不得随意解除或变更。若确需解除或变更合同时，要求变更的一方应及时通知对方，对方在接到通知15日内给予答复，逾期未答复则视为已同意。</w:t>
      </w:r>
    </w:p>
    <w:p w14:paraId="0682D449">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.2变更或解除合同，非采购方原因，所造成的损失由供货方负责。</w:t>
      </w:r>
    </w:p>
    <w:p w14:paraId="34B6958C">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二、技术条款</w:t>
      </w:r>
    </w:p>
    <w:p w14:paraId="6FC6060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en-US" w:eastAsia="zh-CN"/>
        </w:rPr>
        <w:t>验收要求</w:t>
      </w:r>
      <w:r>
        <w:rPr>
          <w:rFonts w:hint="eastAsia" w:ascii="宋体" w:hAnsi="宋体" w:eastAsia="宋体" w:cs="宋体"/>
          <w:bCs/>
          <w:color w:val="auto"/>
          <w:sz w:val="28"/>
          <w:szCs w:val="28"/>
          <w:highlight w:val="none"/>
        </w:rPr>
        <w:t>：</w:t>
      </w:r>
    </w:p>
    <w:p w14:paraId="73AF9CBA">
      <w:pPr>
        <w:pStyle w:val="6"/>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20" w:lineRule="exact"/>
        <w:ind w:left="0" w:leftChars="0" w:right="63" w:rightChars="30" w:firstLine="560" w:firstLineChars="200"/>
        <w:jc w:val="both"/>
        <w:textAlignment w:val="baseline"/>
        <w:rPr>
          <w:rFonts w:hint="default" w:ascii="Times New Roman" w:hAnsi="Times New Roman" w:eastAsia="方正仿宋_GB2312" w:cs="Times New Roman"/>
          <w:color w:val="auto"/>
          <w:kern w:val="2"/>
          <w:sz w:val="32"/>
          <w:szCs w:val="32"/>
          <w:highlight w:val="none"/>
        </w:rPr>
      </w:pPr>
      <w:r>
        <w:rPr>
          <w:rFonts w:hint="eastAsia" w:ascii="宋体" w:hAnsi="宋体" w:eastAsia="宋体" w:cs="宋体"/>
          <w:bCs/>
          <w:color w:val="auto"/>
          <w:sz w:val="28"/>
          <w:szCs w:val="28"/>
          <w:highlight w:val="none"/>
          <w:lang w:val="en-US" w:eastAsia="zh-CN"/>
        </w:rPr>
        <w:t>1.1</w:t>
      </w:r>
      <w:r>
        <w:rPr>
          <w:rFonts w:hint="eastAsia" w:cs="宋体"/>
          <w:snapToGrid w:val="0"/>
          <w:color w:val="auto"/>
          <w:kern w:val="0"/>
          <w:sz w:val="28"/>
          <w:szCs w:val="28"/>
          <w:highlight w:val="none"/>
          <w:lang w:val="en-US" w:eastAsia="zh-CN" w:bidi="ar-SA"/>
        </w:rPr>
        <w:t>供货方</w:t>
      </w:r>
      <w:r>
        <w:rPr>
          <w:rFonts w:hint="default" w:ascii="宋体" w:hAnsi="宋体" w:eastAsia="宋体" w:cs="宋体"/>
          <w:snapToGrid w:val="0"/>
          <w:color w:val="auto"/>
          <w:kern w:val="0"/>
          <w:sz w:val="28"/>
          <w:szCs w:val="28"/>
          <w:highlight w:val="none"/>
          <w:lang w:val="en-US" w:eastAsia="zh-CN" w:bidi="ar-SA"/>
        </w:rPr>
        <w:t>签订合同后在</w:t>
      </w:r>
      <w:r>
        <w:rPr>
          <w:rFonts w:hint="eastAsia" w:cs="宋体"/>
          <w:snapToGrid w:val="0"/>
          <w:color w:val="auto"/>
          <w:kern w:val="0"/>
          <w:sz w:val="28"/>
          <w:szCs w:val="28"/>
          <w:highlight w:val="none"/>
          <w:lang w:val="en-US" w:eastAsia="zh-CN" w:bidi="ar-SA"/>
        </w:rPr>
        <w:t>采购方</w:t>
      </w:r>
      <w:r>
        <w:rPr>
          <w:rFonts w:hint="default" w:ascii="宋体" w:hAnsi="宋体" w:eastAsia="宋体" w:cs="宋体"/>
          <w:snapToGrid w:val="0"/>
          <w:color w:val="auto"/>
          <w:kern w:val="0"/>
          <w:sz w:val="28"/>
          <w:szCs w:val="28"/>
          <w:highlight w:val="none"/>
          <w:lang w:val="en-US" w:eastAsia="zh-CN" w:bidi="ar-SA"/>
        </w:rPr>
        <w:t>规定的时间内，必须将符合招标文件要求的所有合格货物送到指定地点，由采购</w:t>
      </w:r>
      <w:r>
        <w:rPr>
          <w:rFonts w:hint="eastAsia" w:cs="宋体"/>
          <w:snapToGrid w:val="0"/>
          <w:color w:val="auto"/>
          <w:kern w:val="0"/>
          <w:sz w:val="28"/>
          <w:szCs w:val="28"/>
          <w:highlight w:val="none"/>
          <w:lang w:val="en-US" w:eastAsia="zh-CN" w:bidi="ar-SA"/>
        </w:rPr>
        <w:t>方</w:t>
      </w:r>
      <w:r>
        <w:rPr>
          <w:rFonts w:hint="default" w:ascii="宋体" w:hAnsi="宋体" w:eastAsia="宋体" w:cs="宋体"/>
          <w:snapToGrid w:val="0"/>
          <w:color w:val="auto"/>
          <w:kern w:val="0"/>
          <w:sz w:val="28"/>
          <w:szCs w:val="28"/>
          <w:highlight w:val="none"/>
          <w:lang w:val="en-US" w:eastAsia="zh-CN" w:bidi="ar-SA"/>
        </w:rPr>
        <w:t>相关人员对所供货物进行数量清点和外观检查，并且对货物进行抽样送检，抽检频率为每种货物一年不少于四次，时间根据采购批次不定期抽检，货物每次型号随机抽取一组材料样品送检，相关送检费用由</w:t>
      </w:r>
      <w:r>
        <w:rPr>
          <w:rFonts w:hint="eastAsia" w:cs="宋体"/>
          <w:snapToGrid w:val="0"/>
          <w:color w:val="auto"/>
          <w:kern w:val="0"/>
          <w:sz w:val="28"/>
          <w:szCs w:val="28"/>
          <w:highlight w:val="none"/>
          <w:lang w:val="en-US" w:eastAsia="zh-CN" w:bidi="ar-SA"/>
        </w:rPr>
        <w:t>供货方</w:t>
      </w:r>
      <w:r>
        <w:rPr>
          <w:rFonts w:hint="default" w:ascii="宋体" w:hAnsi="宋体" w:eastAsia="宋体" w:cs="宋体"/>
          <w:snapToGrid w:val="0"/>
          <w:color w:val="auto"/>
          <w:kern w:val="0"/>
          <w:sz w:val="28"/>
          <w:szCs w:val="28"/>
          <w:highlight w:val="none"/>
          <w:lang w:val="en-US" w:eastAsia="zh-CN" w:bidi="ar-SA"/>
        </w:rPr>
        <w:t>承担。必要时，采购</w:t>
      </w:r>
      <w:r>
        <w:rPr>
          <w:rFonts w:hint="eastAsia" w:cs="宋体"/>
          <w:snapToGrid w:val="0"/>
          <w:color w:val="auto"/>
          <w:kern w:val="0"/>
          <w:sz w:val="28"/>
          <w:szCs w:val="28"/>
          <w:highlight w:val="none"/>
          <w:lang w:val="en-US" w:eastAsia="zh-CN" w:bidi="ar-SA"/>
        </w:rPr>
        <w:t>方</w:t>
      </w:r>
      <w:r>
        <w:rPr>
          <w:rFonts w:hint="default" w:ascii="宋体" w:hAnsi="宋体" w:eastAsia="宋体" w:cs="宋体"/>
          <w:snapToGrid w:val="0"/>
          <w:color w:val="auto"/>
          <w:kern w:val="0"/>
          <w:sz w:val="28"/>
          <w:szCs w:val="28"/>
          <w:highlight w:val="none"/>
          <w:lang w:val="en-US" w:eastAsia="zh-CN" w:bidi="ar-SA"/>
        </w:rPr>
        <w:t>可邀请相关质量监督部门或第三方检测单位对</w:t>
      </w:r>
      <w:r>
        <w:rPr>
          <w:rFonts w:hint="eastAsia" w:cs="宋体"/>
          <w:snapToGrid w:val="0"/>
          <w:color w:val="auto"/>
          <w:kern w:val="0"/>
          <w:sz w:val="28"/>
          <w:szCs w:val="28"/>
          <w:highlight w:val="none"/>
          <w:lang w:val="en-US" w:eastAsia="zh-CN" w:bidi="ar-SA"/>
        </w:rPr>
        <w:t>供货方</w:t>
      </w:r>
      <w:r>
        <w:rPr>
          <w:rFonts w:hint="default" w:ascii="宋体" w:hAnsi="宋体" w:eastAsia="宋体" w:cs="宋体"/>
          <w:snapToGrid w:val="0"/>
          <w:color w:val="auto"/>
          <w:kern w:val="0"/>
          <w:sz w:val="28"/>
          <w:szCs w:val="28"/>
          <w:highlight w:val="none"/>
          <w:lang w:val="en-US" w:eastAsia="zh-CN" w:bidi="ar-SA"/>
        </w:rPr>
        <w:t>所供货物进行验收及检测，检测费用由</w:t>
      </w:r>
      <w:r>
        <w:rPr>
          <w:rFonts w:hint="eastAsia" w:cs="宋体"/>
          <w:snapToGrid w:val="0"/>
          <w:color w:val="auto"/>
          <w:kern w:val="0"/>
          <w:sz w:val="28"/>
          <w:szCs w:val="28"/>
          <w:highlight w:val="none"/>
          <w:lang w:val="en-US" w:eastAsia="zh-CN" w:bidi="ar-SA"/>
        </w:rPr>
        <w:t>供货方</w:t>
      </w:r>
      <w:r>
        <w:rPr>
          <w:rFonts w:hint="default" w:ascii="宋体" w:hAnsi="宋体" w:eastAsia="宋体" w:cs="宋体"/>
          <w:snapToGrid w:val="0"/>
          <w:color w:val="auto"/>
          <w:kern w:val="0"/>
          <w:sz w:val="28"/>
          <w:szCs w:val="28"/>
          <w:highlight w:val="none"/>
          <w:lang w:val="en-US" w:eastAsia="zh-CN" w:bidi="ar-SA"/>
        </w:rPr>
        <w:t>负责，如验收或检测发现所供货物不合格，视为验收不合格，终止合同履行，履约保证金不予退还。</w:t>
      </w:r>
    </w:p>
    <w:p w14:paraId="1A48F9E0">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1.2如供货方不能按时到达现场，又无函电通知时，采购方有权检验，并对缺件、质量损坏情况做出记录，供货方应认可并负责处理。</w:t>
      </w:r>
    </w:p>
    <w:p w14:paraId="313E98D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2.技术支持及售后服务：</w:t>
      </w:r>
    </w:p>
    <w:p w14:paraId="01C1541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2.1供货方必须向采购方承诺技术后援支持。供货方必须合约期及质保期内提供免费的技术支持，并对采购方人员进行培训。保修期满后供货方应继续提供相关技术服务。</w:t>
      </w:r>
    </w:p>
    <w:p w14:paraId="0118BF3F">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2.2供货方必须履行其投标书中的售后服务承诺。</w:t>
      </w:r>
    </w:p>
    <w:p w14:paraId="3AB259EA">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三、合同生效及其它</w:t>
      </w:r>
    </w:p>
    <w:p w14:paraId="747C5C12">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 xml:space="preserve"> 本合同有效期为  年  月  日至   年  月  日；</w:t>
      </w:r>
      <w:r>
        <w:rPr>
          <w:rFonts w:hint="eastAsia" w:ascii="宋体" w:hAnsi="宋体" w:eastAsia="宋体" w:cs="宋体"/>
          <w:color w:val="auto"/>
          <w:sz w:val="28"/>
          <w:szCs w:val="28"/>
          <w:highlight w:val="none"/>
        </w:rPr>
        <w:t>合同经双方代表签字并加盖单位公章后，即行生效。</w:t>
      </w:r>
    </w:p>
    <w:p w14:paraId="172BE9FD">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2.合同生效后，买卖双方都应严格履行合同，如出现问题双方应积极协商解决，协商不成则向采购方所在地法院提起诉讼。</w:t>
      </w:r>
    </w:p>
    <w:p w14:paraId="6DFF245E">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3.合同在执行过程中出现的未尽事宜，双方在不违背招标文件的原则下，协商解决。协商结果以“补充协议”方式作为合同的附件，与合同具有同等效力。</w:t>
      </w:r>
    </w:p>
    <w:p w14:paraId="662EDA02">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4.招标文件、投标书和投标书附件、中标通知书均为合同不可分割部分。</w:t>
      </w:r>
    </w:p>
    <w:p w14:paraId="109434E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5.本合同一式六份，买方四份，卖方两份，均具有同等法律效力。</w:t>
      </w:r>
    </w:p>
    <w:tbl>
      <w:tblPr>
        <w:tblStyle w:val="8"/>
        <w:tblpPr w:leftFromText="180" w:rightFromText="180" w:vertAnchor="text" w:horzAnchor="page" w:tblpXSpec="center" w:tblpY="321"/>
        <w:tblOverlap w:val="never"/>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8"/>
        <w:gridCol w:w="4381"/>
      </w:tblGrid>
      <w:tr w14:paraId="4616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jc w:val="center"/>
        </w:trPr>
        <w:tc>
          <w:tcPr>
            <w:tcW w:w="4598" w:type="dxa"/>
            <w:noWrap/>
            <w:vAlign w:val="top"/>
          </w:tcPr>
          <w:p w14:paraId="6BA260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采购方（章）：启东市自来水厂有限公司</w:t>
            </w:r>
          </w:p>
          <w:p w14:paraId="0ED226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地址：启东市汇龙镇金沙江路672号</w:t>
            </w:r>
          </w:p>
          <w:p w14:paraId="2A7D53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p>
          <w:p w14:paraId="552EFF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8ACBF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税号：</w:t>
            </w:r>
          </w:p>
          <w:p w14:paraId="206814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152282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22578E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682B7C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4381" w:type="dxa"/>
            <w:noWrap/>
            <w:vAlign w:val="top"/>
          </w:tcPr>
          <w:p w14:paraId="556A5D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供货方（章）：</w:t>
            </w:r>
          </w:p>
          <w:p w14:paraId="12BBF4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6CD84D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       </w:t>
            </w:r>
          </w:p>
          <w:p w14:paraId="4A5DD6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6A8CF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税号：</w:t>
            </w:r>
          </w:p>
          <w:p w14:paraId="55F2A0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540EDD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4D7D37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382056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传真：             </w:t>
            </w:r>
          </w:p>
        </w:tc>
      </w:tr>
    </w:tbl>
    <w:p w14:paraId="537980E9">
      <w:pPr>
        <w:spacing w:before="99" w:line="220" w:lineRule="auto"/>
        <w:ind w:left="2473"/>
        <w:outlineLvl w:val="2"/>
        <w:rPr>
          <w:rFonts w:ascii="宋体" w:hAnsi="宋体" w:eastAsia="宋体" w:cs="宋体"/>
          <w:color w:val="auto"/>
          <w:spacing w:val="-5"/>
          <w:sz w:val="36"/>
          <w:szCs w:val="36"/>
          <w:highlight w:val="none"/>
        </w:rPr>
        <w:sectPr>
          <w:footerReference r:id="rId11" w:type="default"/>
          <w:pgSz w:w="11907" w:h="16839"/>
          <w:pgMar w:top="1431" w:right="1430" w:bottom="1154" w:left="1597" w:header="0" w:footer="988" w:gutter="0"/>
          <w:pgNumType w:fmt="decimal"/>
          <w:cols w:space="720" w:num="1"/>
        </w:sectPr>
      </w:pPr>
    </w:p>
    <w:p w14:paraId="2AB7937F">
      <w:pPr>
        <w:spacing w:before="99" w:line="220" w:lineRule="auto"/>
        <w:ind w:left="2473"/>
        <w:outlineLvl w:val="2"/>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rPr>
        <w:t>第四部分</w:t>
      </w:r>
      <w:r>
        <w:rPr>
          <w:rFonts w:ascii="宋体" w:hAnsi="宋体" w:eastAsia="宋体" w:cs="宋体"/>
          <w:color w:val="auto"/>
          <w:spacing w:val="20"/>
          <w:sz w:val="36"/>
          <w:szCs w:val="36"/>
          <w:highlight w:val="none"/>
        </w:rPr>
        <w:t xml:space="preserve">  </w:t>
      </w:r>
      <w:r>
        <w:rPr>
          <w:rFonts w:ascii="宋体" w:hAnsi="宋体" w:eastAsia="宋体" w:cs="宋体"/>
          <w:color w:val="auto"/>
          <w:spacing w:val="-5"/>
          <w:sz w:val="36"/>
          <w:szCs w:val="36"/>
          <w:highlight w:val="none"/>
        </w:rPr>
        <w:t>响应文件组成</w:t>
      </w:r>
    </w:p>
    <w:p w14:paraId="30C310DB">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2" w:firstLineChars="200"/>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响应文件</w:t>
      </w:r>
      <w:r>
        <w:rPr>
          <w:rFonts w:hint="eastAsia" w:ascii="宋体" w:hAnsi="宋体" w:eastAsia="宋体" w:cs="宋体"/>
          <w:b/>
          <w:bCs/>
          <w:color w:val="auto"/>
          <w:spacing w:val="0"/>
          <w:sz w:val="28"/>
          <w:szCs w:val="28"/>
          <w:highlight w:val="none"/>
        </w:rPr>
        <w:t>响应文件由资格审查证明材料、价格标、两部分组成。</w:t>
      </w:r>
      <w:r>
        <w:rPr>
          <w:rFonts w:hint="eastAsia" w:ascii="宋体" w:hAnsi="宋体" w:eastAsia="宋体" w:cs="宋体"/>
          <w:b/>
          <w:bCs/>
          <w:color w:val="auto"/>
          <w:spacing w:val="0"/>
          <w:sz w:val="28"/>
          <w:szCs w:val="28"/>
          <w:highlight w:val="none"/>
          <w:lang w:val="en-US" w:eastAsia="zh-CN"/>
        </w:rPr>
        <w:t>请投标人</w:t>
      </w:r>
      <w:r>
        <w:rPr>
          <w:rFonts w:ascii="宋体" w:hAnsi="宋体" w:eastAsia="宋体" w:cs="宋体"/>
          <w:b/>
          <w:bCs/>
          <w:color w:val="auto"/>
          <w:spacing w:val="0"/>
          <w:sz w:val="28"/>
          <w:szCs w:val="28"/>
          <w:highlight w:val="none"/>
        </w:rPr>
        <w:t>按照以下格式及要求进行制作、签署、密封和提交。</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（以下内容必须全部提供，并全部加盖报价单位公章。响应文件格式中要求签字的不可打印填写，否则视为无效响应。）</w:t>
      </w:r>
    </w:p>
    <w:p w14:paraId="7BF1C729">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bCs/>
          <w:color w:val="auto"/>
          <w:kern w:val="0"/>
          <w:sz w:val="28"/>
          <w:szCs w:val="28"/>
          <w:highlight w:val="none"/>
        </w:rPr>
        <w:t>一、资格审查证明材料（不能出现价格标）</w:t>
      </w:r>
    </w:p>
    <w:p w14:paraId="090D019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1.投标人符合</w:t>
      </w:r>
      <w:r>
        <w:rPr>
          <w:rFonts w:hint="eastAsia" w:ascii="宋体" w:hAnsi="宋体" w:eastAsia="宋体" w:cs="宋体"/>
          <w:color w:val="auto"/>
          <w:spacing w:val="0"/>
          <w:sz w:val="28"/>
          <w:szCs w:val="28"/>
          <w:highlight w:val="none"/>
          <w:lang w:eastAsia="zh-CN"/>
        </w:rPr>
        <w:t>《中华人民共和国政府采购法》</w:t>
      </w:r>
      <w:r>
        <w:rPr>
          <w:rFonts w:ascii="宋体" w:hAnsi="宋体" w:eastAsia="宋体" w:cs="宋体"/>
          <w:color w:val="auto"/>
          <w:spacing w:val="0"/>
          <w:sz w:val="28"/>
          <w:szCs w:val="28"/>
          <w:highlight w:val="none"/>
        </w:rPr>
        <w:t>第二十二条规定条件的声明函（格式见附件 1）（如分公司参加投标的，另需提供总公司的授权证明）；</w:t>
      </w:r>
    </w:p>
    <w:p w14:paraId="020E05A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2.法定代表人身份证明书、法定代表人身份证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2）；</w:t>
      </w:r>
    </w:p>
    <w:p w14:paraId="416D222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3.法定代表人授权委托书、</w:t>
      </w:r>
      <w:r>
        <w:rPr>
          <w:rFonts w:hint="eastAsia" w:ascii="宋体" w:hAnsi="宋体" w:eastAsia="宋体" w:cs="宋体"/>
          <w:color w:val="auto"/>
          <w:spacing w:val="0"/>
          <w:sz w:val="28"/>
          <w:szCs w:val="28"/>
          <w:highlight w:val="none"/>
          <w:lang w:val="en-US" w:eastAsia="zh-CN"/>
        </w:rPr>
        <w:t>被</w:t>
      </w:r>
      <w:r>
        <w:rPr>
          <w:rFonts w:ascii="宋体" w:hAnsi="宋体" w:eastAsia="宋体" w:cs="宋体"/>
          <w:color w:val="auto"/>
          <w:spacing w:val="0"/>
          <w:sz w:val="28"/>
          <w:szCs w:val="28"/>
          <w:highlight w:val="none"/>
        </w:rPr>
        <w:t>授权人身份证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3，法定代表人参加的，无需提供授权委托书）；</w:t>
      </w:r>
    </w:p>
    <w:p w14:paraId="0C4FD07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default" w:ascii="宋体" w:hAnsi="宋体" w:eastAsia="宋体" w:cs="宋体"/>
          <w:color w:val="auto"/>
          <w:spacing w:val="0"/>
          <w:sz w:val="28"/>
          <w:szCs w:val="28"/>
          <w:highlight w:val="none"/>
          <w:lang w:val="en-US" w:eastAsia="zh-CN"/>
        </w:rPr>
      </w:pPr>
      <w:r>
        <w:rPr>
          <w:rFonts w:ascii="宋体" w:hAnsi="宋体" w:eastAsia="宋体" w:cs="宋体"/>
          <w:color w:val="auto"/>
          <w:spacing w:val="0"/>
          <w:sz w:val="28"/>
          <w:szCs w:val="28"/>
          <w:highlight w:val="none"/>
        </w:rPr>
        <w:t>4.</w:t>
      </w:r>
      <w:r>
        <w:rPr>
          <w:rFonts w:hint="eastAsia" w:ascii="宋体" w:hAnsi="宋体" w:eastAsia="宋体" w:cs="宋体"/>
          <w:color w:val="auto"/>
          <w:spacing w:val="0"/>
          <w:position w:val="0"/>
          <w:sz w:val="28"/>
          <w:szCs w:val="28"/>
          <w:highlight w:val="none"/>
          <w:lang w:val="en-US" w:eastAsia="zh-CN"/>
        </w:rPr>
        <w:t>供应商提供</w:t>
      </w:r>
      <w:r>
        <w:rPr>
          <w:rFonts w:ascii="宋体" w:hAnsi="宋体" w:eastAsia="宋体" w:cs="宋体"/>
          <w:color w:val="auto"/>
          <w:spacing w:val="0"/>
          <w:sz w:val="28"/>
          <w:szCs w:val="28"/>
          <w:highlight w:val="none"/>
        </w:rPr>
        <w:t>有效的营业执照复印件</w:t>
      </w:r>
      <w:r>
        <w:rPr>
          <w:rFonts w:hint="eastAsia" w:ascii="宋体" w:hAnsi="宋体" w:eastAsia="宋体" w:cs="宋体"/>
          <w:color w:val="auto"/>
          <w:spacing w:val="0"/>
          <w:sz w:val="28"/>
          <w:szCs w:val="28"/>
          <w:highlight w:val="none"/>
        </w:rPr>
        <w:t>（加盖报价单位公章）</w:t>
      </w:r>
      <w:r>
        <w:rPr>
          <w:rFonts w:ascii="宋体" w:hAnsi="宋体" w:eastAsia="宋体" w:cs="宋体"/>
          <w:color w:val="auto"/>
          <w:spacing w:val="0"/>
          <w:sz w:val="28"/>
          <w:szCs w:val="28"/>
          <w:highlight w:val="none"/>
        </w:rPr>
        <w:t>；</w:t>
      </w:r>
    </w:p>
    <w:p w14:paraId="3AF7910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6"/>
          <w:position w:val="0"/>
          <w:sz w:val="28"/>
          <w:szCs w:val="28"/>
          <w:highlight w:val="none"/>
        </w:rPr>
      </w:pP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w:t>
      </w:r>
      <w:r>
        <w:rPr>
          <w:rFonts w:hint="eastAsia" w:ascii="宋体" w:hAnsi="宋体" w:eastAsia="宋体" w:cs="宋体"/>
          <w:color w:val="auto"/>
          <w:spacing w:val="0"/>
          <w:sz w:val="28"/>
          <w:szCs w:val="28"/>
          <w:highlight w:val="none"/>
          <w:lang w:val="en-US" w:eastAsia="zh-CN"/>
        </w:rPr>
        <w:t>未被</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信用中国</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中国政府采购网</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信用江苏</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网站列入失信被执行人、重大税收违法案件当事人名单、政府采购严重违法失信行为记录名单</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提供网页截图</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p>
    <w:p w14:paraId="33B892C5">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6.</w:t>
      </w:r>
      <w:r>
        <w:rPr>
          <w:rFonts w:ascii="宋体" w:hAnsi="宋体" w:eastAsia="宋体" w:cs="宋体"/>
          <w:color w:val="auto"/>
          <w:spacing w:val="0"/>
          <w:sz w:val="28"/>
          <w:szCs w:val="28"/>
          <w:highlight w:val="none"/>
        </w:rPr>
        <w:t>质保承诺书（格式见附件4）；</w:t>
      </w:r>
    </w:p>
    <w:p w14:paraId="240B7C15">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7.提供投标产品应具有国家公安部消防局指定的认证单位出具的强制性产品认证或型式认可证书和国家消防产品质量监督部门出具的质检报告复印件（加盖报价单位公章）；</w:t>
      </w:r>
    </w:p>
    <w:p w14:paraId="0E06F860">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8.提供有效期内的ISO9001质量体系认证证书复印件（加盖报价单位公章）；（若为经销商的，则需提供投标品牌厂家的ISO9001质量体系认证证书复印件并加盖报价单位公章）；</w:t>
      </w:r>
    </w:p>
    <w:p w14:paraId="413B95DC">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9.提供必须有充足的库存物资，保证按时供货的承诺（提供承诺函原件加盖公章，格式自拟）；</w:t>
      </w:r>
    </w:p>
    <w:p w14:paraId="612A655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10.提供近五年（自提交投标文件截止日前推五年，以合同签订时间为准）以来具有与本项目产品相类似的供货业绩（提供合同及相应发票复印件加盖报价单位公章）；</w:t>
      </w:r>
    </w:p>
    <w:p w14:paraId="7ECE927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11.</w:t>
      </w:r>
      <w:r>
        <w:rPr>
          <w:rFonts w:ascii="宋体" w:hAnsi="宋体" w:eastAsia="宋体" w:cs="宋体"/>
          <w:color w:val="auto"/>
          <w:spacing w:val="0"/>
          <w:sz w:val="28"/>
          <w:szCs w:val="28"/>
          <w:highlight w:val="none"/>
        </w:rPr>
        <w:t>报价货物采购要求响应表（格式见附件</w:t>
      </w: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w:t>
      </w:r>
    </w:p>
    <w:p w14:paraId="5F51126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12.</w:t>
      </w:r>
      <w:r>
        <w:rPr>
          <w:rFonts w:hint="eastAsia" w:asciiTheme="minorEastAsia" w:hAnsiTheme="minorEastAsia" w:eastAsiaTheme="minorEastAsia"/>
          <w:color w:val="auto"/>
          <w:kern w:val="0"/>
          <w:sz w:val="28"/>
          <w:szCs w:val="28"/>
          <w:highlight w:val="none"/>
          <w:lang w:val="zh-CN"/>
        </w:rPr>
        <w:t>其它需要提交的资格审查证明材料。</w:t>
      </w:r>
    </w:p>
    <w:p w14:paraId="0C3D057E">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bCs/>
          <w:color w:val="auto"/>
          <w:kern w:val="0"/>
          <w:sz w:val="28"/>
          <w:szCs w:val="28"/>
          <w:highlight w:val="none"/>
        </w:rPr>
        <w:t>二、价格标</w:t>
      </w:r>
    </w:p>
    <w:p w14:paraId="6252DBDE">
      <w:pPr>
        <w:keepNext w:val="0"/>
        <w:keepLines w:val="0"/>
        <w:pageBreakBefore w:val="0"/>
        <w:widowControl/>
        <w:kinsoku w:val="0"/>
        <w:wordWrap/>
        <w:overflowPunct/>
        <w:topLinePunct w:val="0"/>
        <w:autoSpaceDE w:val="0"/>
        <w:autoSpaceDN w:val="0"/>
        <w:bidi w:val="0"/>
        <w:adjustRightInd w:val="0"/>
        <w:snapToGrid w:val="0"/>
        <w:spacing w:line="42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1.报价表（格式见附件</w:t>
      </w:r>
      <w:r>
        <w:rPr>
          <w:rFonts w:hint="eastAsia" w:asciiTheme="minorEastAsia" w:hAnsiTheme="minorEastAsia" w:eastAsiaTheme="minorEastAsia"/>
          <w:color w:val="auto"/>
          <w:kern w:val="0"/>
          <w:sz w:val="28"/>
          <w:szCs w:val="28"/>
          <w:highlight w:val="none"/>
          <w:lang w:val="en-US" w:eastAsia="zh-CN"/>
        </w:rPr>
        <w:t>6</w:t>
      </w:r>
      <w:r>
        <w:rPr>
          <w:rFonts w:hint="eastAsia" w:asciiTheme="minorEastAsia" w:hAnsiTheme="minorEastAsia" w:eastAsiaTheme="minorEastAsia"/>
          <w:color w:val="auto"/>
          <w:kern w:val="0"/>
          <w:sz w:val="28"/>
          <w:szCs w:val="28"/>
          <w:highlight w:val="none"/>
          <w:lang w:val="zh-CN"/>
        </w:rPr>
        <w:t>）；</w:t>
      </w:r>
    </w:p>
    <w:p w14:paraId="4295CE87">
      <w:pPr>
        <w:keepNext w:val="0"/>
        <w:keepLines w:val="0"/>
        <w:pageBreakBefore w:val="0"/>
        <w:widowControl/>
        <w:kinsoku w:val="0"/>
        <w:wordWrap/>
        <w:overflowPunct/>
        <w:topLinePunct w:val="0"/>
        <w:autoSpaceDE w:val="0"/>
        <w:autoSpaceDN w:val="0"/>
        <w:bidi w:val="0"/>
        <w:adjustRightInd w:val="0"/>
        <w:snapToGrid w:val="0"/>
        <w:spacing w:line="42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2.中小企业声明函（</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7</w:t>
      </w:r>
      <w:r>
        <w:rPr>
          <w:rFonts w:hint="eastAsia" w:asciiTheme="minorEastAsia" w:hAnsiTheme="minorEastAsia" w:eastAsiaTheme="minorEastAsia"/>
          <w:color w:val="auto"/>
          <w:kern w:val="0"/>
          <w:sz w:val="28"/>
          <w:szCs w:val="28"/>
          <w:highlight w:val="none"/>
          <w:lang w:val="zh-CN"/>
        </w:rPr>
        <w:t>）；</w:t>
      </w:r>
    </w:p>
    <w:p w14:paraId="7177D5A5">
      <w:pPr>
        <w:keepNext w:val="0"/>
        <w:keepLines w:val="0"/>
        <w:pageBreakBefore w:val="0"/>
        <w:widowControl/>
        <w:kinsoku w:val="0"/>
        <w:wordWrap/>
        <w:overflowPunct/>
        <w:topLinePunct w:val="0"/>
        <w:autoSpaceDE w:val="0"/>
        <w:autoSpaceDN w:val="0"/>
        <w:bidi w:val="0"/>
        <w:adjustRightInd w:val="0"/>
        <w:snapToGrid w:val="0"/>
        <w:spacing w:line="42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3.残疾人福利性单位声明函（</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8</w:t>
      </w:r>
      <w:r>
        <w:rPr>
          <w:rFonts w:hint="eastAsia" w:asciiTheme="minorEastAsia" w:hAnsiTheme="minorEastAsia" w:eastAsiaTheme="minorEastAsia"/>
          <w:color w:val="auto"/>
          <w:kern w:val="0"/>
          <w:sz w:val="28"/>
          <w:szCs w:val="28"/>
          <w:highlight w:val="none"/>
          <w:lang w:val="zh-CN"/>
        </w:rPr>
        <w:t>）；</w:t>
      </w:r>
    </w:p>
    <w:p w14:paraId="6B767C4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Theme="minorEastAsia" w:hAnsiTheme="minorEastAsia" w:eastAsiaTheme="minorEastAsia"/>
          <w:color w:val="auto"/>
          <w:kern w:val="0"/>
          <w:sz w:val="28"/>
          <w:szCs w:val="28"/>
          <w:highlight w:val="none"/>
          <w:lang w:val="zh-CN"/>
        </w:rPr>
        <w:t>4.监狱和戒毒企业证明材料（</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9</w:t>
      </w:r>
      <w:r>
        <w:rPr>
          <w:rFonts w:hint="eastAsia" w:asciiTheme="minorEastAsia" w:hAnsiTheme="minorEastAsia" w:eastAsiaTheme="minorEastAsia"/>
          <w:color w:val="auto"/>
          <w:kern w:val="0"/>
          <w:sz w:val="28"/>
          <w:szCs w:val="28"/>
          <w:highlight w:val="none"/>
          <w:lang w:val="zh-CN"/>
        </w:rPr>
        <w:t>）。</w:t>
      </w:r>
    </w:p>
    <w:p w14:paraId="4C824BEC">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2"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注：响应文件</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1</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份正本</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2</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副本，响应文件中必须包含上述要求提供的所有材料的复印件并加盖报价单位公章，否则以未实质性响应采购文件处理。响应文件装订成册并密封，密封袋上标明：采购人名称、项目名称、供应商名称、响应文件名称</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lang w:val="en-US" w:eastAsia="zh-CN"/>
        </w:rPr>
        <w:t>联系电话、日期</w:t>
      </w:r>
      <w:r>
        <w:rPr>
          <w:rFonts w:ascii="宋体" w:hAnsi="宋体" w:eastAsia="宋体" w:cs="宋体"/>
          <w:b/>
          <w:bCs/>
          <w:color w:val="auto"/>
          <w:spacing w:val="0"/>
          <w:sz w:val="28"/>
          <w:szCs w:val="28"/>
          <w:highlight w:val="none"/>
        </w:rPr>
        <w:t>，否则视为无效报价。</w:t>
      </w:r>
    </w:p>
    <w:p w14:paraId="17380D8B">
      <w:pPr>
        <w:spacing w:line="323" w:lineRule="auto"/>
        <w:rPr>
          <w:rFonts w:ascii="宋体" w:hAnsi="宋体" w:eastAsia="宋体" w:cs="宋体"/>
          <w:color w:val="auto"/>
          <w:sz w:val="28"/>
          <w:szCs w:val="28"/>
          <w:highlight w:val="none"/>
        </w:rPr>
        <w:sectPr>
          <w:pgSz w:w="11907" w:h="16839"/>
          <w:pgMar w:top="1431" w:right="1430" w:bottom="1154" w:left="1597" w:header="0" w:footer="988" w:gutter="0"/>
          <w:pgNumType w:fmt="decimal"/>
          <w:cols w:space="720" w:num="1"/>
        </w:sectPr>
      </w:pPr>
    </w:p>
    <w:p w14:paraId="06B06827">
      <w:pPr>
        <w:spacing w:before="64" w:line="224" w:lineRule="auto"/>
        <w:ind w:left="27"/>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39"/>
          <w:sz w:val="31"/>
          <w:szCs w:val="31"/>
          <w:highlight w:val="none"/>
        </w:rPr>
        <w:t xml:space="preserve"> </w:t>
      </w:r>
      <w:r>
        <w:rPr>
          <w:rFonts w:ascii="宋体" w:hAnsi="宋体" w:eastAsia="宋体" w:cs="宋体"/>
          <w:color w:val="auto"/>
          <w:spacing w:val="-7"/>
          <w:sz w:val="31"/>
          <w:szCs w:val="31"/>
          <w:highlight w:val="none"/>
        </w:rPr>
        <w:t>1</w:t>
      </w:r>
    </w:p>
    <w:p w14:paraId="5AE08804">
      <w:pPr>
        <w:pStyle w:val="2"/>
        <w:spacing w:line="259" w:lineRule="auto"/>
        <w:rPr>
          <w:color w:val="auto"/>
          <w:highlight w:val="none"/>
        </w:rPr>
      </w:pPr>
    </w:p>
    <w:p w14:paraId="4C3BD964">
      <w:pPr>
        <w:jc w:val="center"/>
        <w:rPr>
          <w:rFonts w:ascii="宋体" w:hAnsi="宋体" w:eastAsia="宋体"/>
          <w:b/>
          <w:color w:val="auto"/>
          <w:sz w:val="30"/>
          <w:szCs w:val="30"/>
          <w:highlight w:val="none"/>
        </w:rPr>
      </w:pPr>
      <w:r>
        <w:rPr>
          <w:rFonts w:hint="eastAsia" w:ascii="宋体" w:hAnsi="宋体" w:eastAsia="宋体"/>
          <w:b/>
          <w:color w:val="auto"/>
          <w:sz w:val="30"/>
          <w:szCs w:val="30"/>
          <w:highlight w:val="none"/>
        </w:rPr>
        <w:t>投标人符合《政府采购法》第二十二条规定条件的声明函</w:t>
      </w:r>
    </w:p>
    <w:p w14:paraId="0298D23E">
      <w:pPr>
        <w:spacing w:line="460" w:lineRule="exact"/>
        <w:rPr>
          <w:rFonts w:ascii="宋体" w:hAnsi="宋体" w:eastAsia="宋体"/>
          <w:b/>
          <w:bCs/>
          <w:color w:val="auto"/>
          <w:sz w:val="44"/>
          <w:szCs w:val="44"/>
          <w:highlight w:val="none"/>
        </w:rPr>
      </w:pPr>
    </w:p>
    <w:p w14:paraId="18CDD773">
      <w:pPr>
        <w:spacing w:line="520" w:lineRule="exact"/>
        <w:ind w:firstLine="480" w:firstLineChars="200"/>
        <w:rPr>
          <w:rFonts w:ascii="宋体" w:hAnsi="宋体" w:eastAsia="宋体"/>
          <w:b/>
          <w:bCs/>
          <w:color w:val="auto"/>
          <w:sz w:val="24"/>
          <w:highlight w:val="none"/>
        </w:rPr>
      </w:pPr>
      <w:r>
        <w:rPr>
          <w:rFonts w:hint="eastAsia" w:ascii="宋体" w:hAnsi="宋体" w:eastAsia="宋体"/>
          <w:bCs/>
          <w:color w:val="auto"/>
          <w:sz w:val="24"/>
          <w:highlight w:val="none"/>
        </w:rPr>
        <w:t>我单位参加</w:t>
      </w:r>
      <w:r>
        <w:rPr>
          <w:rFonts w:hint="eastAsia" w:ascii="宋体" w:hAnsi="宋体" w:eastAsia="宋体"/>
          <w:bCs/>
          <w:color w:val="auto"/>
          <w:sz w:val="24"/>
          <w:szCs w:val="21"/>
          <w:highlight w:val="none"/>
        </w:rPr>
        <w:t>_________________（项目名称）投标活动。针对《中华人民共和国政府采购法》第二十二条规定做出如下声明：</w:t>
      </w:r>
    </w:p>
    <w:p w14:paraId="460ADBCD">
      <w:pPr>
        <w:spacing w:line="520" w:lineRule="exact"/>
        <w:ind w:firstLine="482"/>
        <w:rPr>
          <w:rFonts w:ascii="宋体" w:hAnsi="宋体" w:eastAsia="宋体"/>
          <w:color w:val="auto"/>
          <w:sz w:val="24"/>
          <w:highlight w:val="none"/>
        </w:rPr>
      </w:pPr>
      <w:r>
        <w:rPr>
          <w:rFonts w:hint="eastAsia" w:ascii="宋体" w:hAnsi="宋体" w:eastAsia="宋体"/>
          <w:bCs/>
          <w:color w:val="auto"/>
          <w:sz w:val="24"/>
          <w:szCs w:val="21"/>
          <w:highlight w:val="none"/>
        </w:rPr>
        <w:t>1.我单位具有独立承担民事责任的能力；</w:t>
      </w:r>
    </w:p>
    <w:p w14:paraId="44B65BCF">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2.我单位具有良好的商业信誉和健全的财务会计制度；</w:t>
      </w:r>
    </w:p>
    <w:p w14:paraId="7257A982">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3.我单位具有履行合同所必需的设备和专业技术能力；</w:t>
      </w:r>
    </w:p>
    <w:p w14:paraId="6BA5EBC0">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4.我单位有依法缴纳税收和社会保障资金的良好记录；</w:t>
      </w:r>
    </w:p>
    <w:p w14:paraId="64AED314">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1C330D6">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6.我单位满足法律、行政法规规定的其他条件。</w:t>
      </w:r>
    </w:p>
    <w:p w14:paraId="77FA7809">
      <w:pPr>
        <w:pStyle w:val="5"/>
        <w:rPr>
          <w:color w:val="auto"/>
          <w:highlight w:val="none"/>
        </w:rPr>
      </w:pPr>
    </w:p>
    <w:p w14:paraId="1172C726">
      <w:pPr>
        <w:pStyle w:val="2"/>
        <w:spacing w:line="259" w:lineRule="auto"/>
        <w:rPr>
          <w:color w:val="auto"/>
          <w:highlight w:val="none"/>
        </w:rPr>
      </w:pPr>
    </w:p>
    <w:p w14:paraId="365CE4B9">
      <w:pPr>
        <w:pStyle w:val="2"/>
        <w:spacing w:line="259" w:lineRule="auto"/>
        <w:rPr>
          <w:color w:val="auto"/>
          <w:highlight w:val="none"/>
        </w:rPr>
      </w:pPr>
    </w:p>
    <w:p w14:paraId="1952ACDF">
      <w:pPr>
        <w:pStyle w:val="2"/>
        <w:spacing w:line="259" w:lineRule="auto"/>
        <w:rPr>
          <w:color w:val="auto"/>
          <w:highlight w:val="none"/>
        </w:rPr>
      </w:pPr>
    </w:p>
    <w:p w14:paraId="54E61BB4">
      <w:pPr>
        <w:pStyle w:val="2"/>
        <w:spacing w:line="259" w:lineRule="auto"/>
        <w:rPr>
          <w:color w:val="auto"/>
          <w:highlight w:val="none"/>
        </w:rPr>
      </w:pPr>
    </w:p>
    <w:p w14:paraId="1C4FFECA">
      <w:pPr>
        <w:pStyle w:val="2"/>
        <w:spacing w:line="259" w:lineRule="auto"/>
        <w:rPr>
          <w:color w:val="auto"/>
          <w:highlight w:val="none"/>
        </w:rPr>
      </w:pPr>
    </w:p>
    <w:p w14:paraId="7A3C492F">
      <w:pPr>
        <w:pStyle w:val="2"/>
        <w:spacing w:line="259" w:lineRule="auto"/>
        <w:rPr>
          <w:color w:val="auto"/>
          <w:highlight w:val="none"/>
        </w:rPr>
      </w:pPr>
    </w:p>
    <w:p w14:paraId="7B0C306F">
      <w:pPr>
        <w:pStyle w:val="2"/>
        <w:spacing w:line="259" w:lineRule="auto"/>
        <w:rPr>
          <w:color w:val="auto"/>
          <w:highlight w:val="none"/>
        </w:rPr>
      </w:pPr>
    </w:p>
    <w:p w14:paraId="1BD6F244">
      <w:pPr>
        <w:pStyle w:val="2"/>
        <w:spacing w:line="259" w:lineRule="auto"/>
        <w:rPr>
          <w:color w:val="auto"/>
          <w:highlight w:val="none"/>
        </w:rPr>
      </w:pPr>
    </w:p>
    <w:p w14:paraId="1CBA3A80">
      <w:pPr>
        <w:pStyle w:val="2"/>
        <w:spacing w:line="260" w:lineRule="auto"/>
        <w:rPr>
          <w:color w:val="auto"/>
          <w:highlight w:val="none"/>
        </w:rPr>
      </w:pPr>
    </w:p>
    <w:p w14:paraId="7E2FD578">
      <w:pPr>
        <w:spacing w:before="79" w:line="219" w:lineRule="auto"/>
        <w:ind w:left="595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承诺人名称（公章</w:t>
      </w:r>
      <w:r>
        <w:rPr>
          <w:rFonts w:ascii="宋体" w:hAnsi="宋体" w:eastAsia="宋体" w:cs="宋体"/>
          <w:color w:val="auto"/>
          <w:spacing w:val="-2"/>
          <w:sz w:val="24"/>
          <w:szCs w:val="24"/>
          <w:highlight w:val="none"/>
        </w:rPr>
        <w:t>）：</w:t>
      </w:r>
    </w:p>
    <w:p w14:paraId="65F20F57">
      <w:pPr>
        <w:pStyle w:val="2"/>
        <w:spacing w:line="277" w:lineRule="auto"/>
        <w:rPr>
          <w:color w:val="auto"/>
          <w:highlight w:val="none"/>
        </w:rPr>
      </w:pPr>
    </w:p>
    <w:p w14:paraId="6717BDF0">
      <w:pPr>
        <w:pStyle w:val="2"/>
        <w:spacing w:line="278" w:lineRule="auto"/>
        <w:rPr>
          <w:color w:val="auto"/>
          <w:highlight w:val="none"/>
        </w:rPr>
      </w:pPr>
    </w:p>
    <w:p w14:paraId="53B02C9B">
      <w:pPr>
        <w:spacing w:before="79" w:line="220" w:lineRule="auto"/>
        <w:ind w:left="5823"/>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07C51338">
      <w:pPr>
        <w:spacing w:line="220" w:lineRule="auto"/>
        <w:rPr>
          <w:rFonts w:ascii="宋体" w:hAnsi="宋体" w:eastAsia="宋体" w:cs="宋体"/>
          <w:color w:val="auto"/>
          <w:sz w:val="24"/>
          <w:szCs w:val="24"/>
          <w:highlight w:val="none"/>
        </w:rPr>
        <w:sectPr>
          <w:footerReference r:id="rId12" w:type="default"/>
          <w:pgSz w:w="11907" w:h="16839"/>
          <w:pgMar w:top="1440" w:right="1231" w:bottom="1154" w:left="1596" w:header="0" w:footer="988" w:gutter="0"/>
          <w:pgNumType w:fmt="decimal"/>
          <w:cols w:space="720" w:num="1"/>
        </w:sectPr>
      </w:pPr>
    </w:p>
    <w:p w14:paraId="50A188B4">
      <w:pPr>
        <w:spacing w:before="64" w:line="224" w:lineRule="auto"/>
        <w:ind w:left="9"/>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9"/>
          <w:sz w:val="31"/>
          <w:szCs w:val="31"/>
          <w:highlight w:val="none"/>
        </w:rPr>
        <w:t xml:space="preserve"> </w:t>
      </w:r>
      <w:r>
        <w:rPr>
          <w:rFonts w:ascii="宋体" w:hAnsi="宋体" w:eastAsia="宋体" w:cs="宋体"/>
          <w:color w:val="auto"/>
          <w:spacing w:val="-7"/>
          <w:sz w:val="31"/>
          <w:szCs w:val="31"/>
          <w:highlight w:val="none"/>
        </w:rPr>
        <w:t>2</w:t>
      </w:r>
    </w:p>
    <w:p w14:paraId="5CA9154C">
      <w:pPr>
        <w:spacing w:before="165" w:line="225" w:lineRule="auto"/>
        <w:ind w:left="2990"/>
        <w:outlineLvl w:val="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法定代表人身份证明</w:t>
      </w:r>
    </w:p>
    <w:p w14:paraId="77C1EF8F">
      <w:pPr>
        <w:pStyle w:val="2"/>
        <w:spacing w:line="291" w:lineRule="auto"/>
        <w:rPr>
          <w:color w:val="auto"/>
          <w:highlight w:val="none"/>
        </w:rPr>
      </w:pPr>
    </w:p>
    <w:p w14:paraId="785B2E2C">
      <w:pPr>
        <w:pStyle w:val="2"/>
        <w:spacing w:line="291" w:lineRule="auto"/>
        <w:rPr>
          <w:color w:val="auto"/>
          <w:highlight w:val="none"/>
        </w:rPr>
      </w:pPr>
    </w:p>
    <w:sdt>
      <w:sdtPr>
        <w:rPr>
          <w:rFonts w:ascii="宋体" w:hAnsi="宋体" w:eastAsia="宋体" w:cs="宋体"/>
          <w:color w:val="auto"/>
          <w:sz w:val="24"/>
          <w:szCs w:val="24"/>
          <w:highlight w:val="none"/>
        </w:rPr>
        <w:id w:val="147482201"/>
        <w:docPartObj>
          <w:docPartGallery w:val="Table of Contents"/>
          <w:docPartUnique/>
        </w:docPartObj>
      </w:sdtPr>
      <w:sdtEndPr>
        <w:rPr>
          <w:rFonts w:ascii="宋体" w:hAnsi="宋体" w:eastAsia="宋体" w:cs="宋体"/>
          <w:color w:val="auto"/>
          <w:sz w:val="24"/>
          <w:szCs w:val="24"/>
          <w:highlight w:val="none"/>
        </w:rPr>
      </w:sdtEndPr>
      <w:sdtContent>
        <w:p w14:paraId="51A33A17">
          <w:pPr>
            <w:tabs>
              <w:tab w:val="left" w:pos="1956"/>
            </w:tabs>
            <w:spacing w:before="78" w:line="220" w:lineRule="auto"/>
            <w:ind w:left="996"/>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5"/>
              <w:sz w:val="24"/>
              <w:szCs w:val="24"/>
              <w:highlight w:val="none"/>
            </w:rPr>
            <w:t xml:space="preserve"> </w:t>
          </w:r>
          <w:r>
            <w:rPr>
              <w:rFonts w:ascii="宋体" w:hAnsi="宋体" w:eastAsia="宋体" w:cs="宋体"/>
              <w:color w:val="auto"/>
              <w:spacing w:val="-2"/>
              <w:sz w:val="24"/>
              <w:szCs w:val="24"/>
              <w:highlight w:val="none"/>
            </w:rPr>
            <w:t>先生/女士，身份证号码</w:t>
          </w:r>
          <w:r>
            <w:rPr>
              <w:rFonts w:ascii="宋体" w:hAnsi="宋体" w:eastAsia="宋体" w:cs="宋体"/>
              <w:color w:val="auto"/>
              <w:spacing w:val="-23"/>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3"/>
              <w:sz w:val="24"/>
              <w:szCs w:val="24"/>
              <w:highlight w:val="none"/>
            </w:rPr>
            <w:t>，</w:t>
          </w:r>
        </w:p>
        <w:p w14:paraId="65F552DA">
          <w:pPr>
            <w:spacing w:before="194" w:line="220" w:lineRule="auto"/>
            <w:ind w:left="46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现任我单位</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2"/>
              <w:sz w:val="24"/>
              <w:szCs w:val="24"/>
              <w:highlight w:val="none"/>
            </w:rPr>
            <w:t>职务，为法定代表人，特此证明。</w:t>
          </w:r>
        </w:p>
      </w:sdtContent>
    </w:sdt>
    <w:p w14:paraId="1F59D0FB">
      <w:pPr>
        <w:pStyle w:val="2"/>
        <w:spacing w:line="258" w:lineRule="auto"/>
        <w:rPr>
          <w:color w:val="auto"/>
          <w:highlight w:val="none"/>
        </w:rPr>
      </w:pPr>
    </w:p>
    <w:p w14:paraId="35F85E85">
      <w:pPr>
        <w:pStyle w:val="2"/>
        <w:spacing w:line="258" w:lineRule="auto"/>
        <w:rPr>
          <w:color w:val="auto"/>
          <w:highlight w:val="none"/>
        </w:rPr>
      </w:pPr>
    </w:p>
    <w:p w14:paraId="1298755A">
      <w:pPr>
        <w:pStyle w:val="2"/>
        <w:spacing w:line="258" w:lineRule="auto"/>
        <w:rPr>
          <w:color w:val="auto"/>
          <w:highlight w:val="none"/>
        </w:rPr>
      </w:pPr>
    </w:p>
    <w:p w14:paraId="0D6D5088">
      <w:pPr>
        <w:pStyle w:val="2"/>
        <w:spacing w:line="259" w:lineRule="auto"/>
        <w:rPr>
          <w:color w:val="auto"/>
          <w:highlight w:val="none"/>
        </w:rPr>
      </w:pPr>
    </w:p>
    <w:p w14:paraId="6F0EB861">
      <w:pPr>
        <w:pStyle w:val="2"/>
        <w:spacing w:line="259" w:lineRule="auto"/>
        <w:rPr>
          <w:color w:val="auto"/>
          <w:highlight w:val="none"/>
        </w:rPr>
      </w:pPr>
    </w:p>
    <w:p w14:paraId="0AED8511">
      <w:pPr>
        <w:spacing w:before="78" w:line="219" w:lineRule="auto"/>
        <w:ind w:left="32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单位名称(盖公章)：</w:t>
      </w:r>
      <w:r>
        <w:rPr>
          <w:rFonts w:ascii="宋体" w:hAnsi="宋体" w:eastAsia="宋体" w:cs="宋体"/>
          <w:color w:val="auto"/>
          <w:sz w:val="24"/>
          <w:szCs w:val="24"/>
          <w:highlight w:val="none"/>
          <w:u w:val="single" w:color="auto"/>
        </w:rPr>
        <w:t xml:space="preserve">                  </w:t>
      </w:r>
    </w:p>
    <w:p w14:paraId="16BDA094">
      <w:pPr>
        <w:pStyle w:val="2"/>
        <w:spacing w:line="256" w:lineRule="auto"/>
        <w:rPr>
          <w:color w:val="auto"/>
          <w:highlight w:val="none"/>
        </w:rPr>
      </w:pPr>
    </w:p>
    <w:p w14:paraId="293DD1AB">
      <w:pPr>
        <w:spacing w:before="78" w:line="220" w:lineRule="auto"/>
        <w:ind w:left="3863"/>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w:t>
      </w:r>
      <w:r>
        <w:rPr>
          <w:rFonts w:ascii="宋体" w:hAnsi="宋体" w:eastAsia="宋体" w:cs="宋体"/>
          <w:color w:val="auto"/>
          <w:spacing w:val="13"/>
          <w:sz w:val="24"/>
          <w:szCs w:val="24"/>
          <w:highlight w:val="none"/>
        </w:rPr>
        <w:t xml:space="preserve"> </w:t>
      </w:r>
      <w:r>
        <w:rPr>
          <w:rFonts w:ascii="宋体" w:hAnsi="宋体" w:eastAsia="宋体" w:cs="宋体"/>
          <w:color w:val="auto"/>
          <w:spacing w:val="-15"/>
          <w:sz w:val="24"/>
          <w:szCs w:val="24"/>
          <w:highlight w:val="none"/>
        </w:rPr>
        <w:t>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5"/>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15"/>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5"/>
          <w:sz w:val="24"/>
          <w:szCs w:val="24"/>
          <w:highlight w:val="none"/>
        </w:rPr>
        <w:t>日</w:t>
      </w:r>
    </w:p>
    <w:p w14:paraId="15328A44">
      <w:pPr>
        <w:pStyle w:val="2"/>
        <w:spacing w:line="248" w:lineRule="auto"/>
        <w:rPr>
          <w:color w:val="auto"/>
          <w:highlight w:val="none"/>
        </w:rPr>
      </w:pPr>
    </w:p>
    <w:p w14:paraId="1E85B0FA">
      <w:pPr>
        <w:pStyle w:val="2"/>
        <w:spacing w:line="249" w:lineRule="auto"/>
        <w:rPr>
          <w:color w:val="auto"/>
          <w:highlight w:val="none"/>
        </w:rPr>
      </w:pPr>
    </w:p>
    <w:p w14:paraId="00D1ED48">
      <w:pPr>
        <w:spacing w:before="78" w:line="219" w:lineRule="auto"/>
        <w:rPr>
          <w:rFonts w:ascii="宋体" w:hAnsi="宋体" w:eastAsia="宋体" w:cs="宋体"/>
          <w:b/>
          <w:bCs/>
          <w:color w:val="auto"/>
          <w:spacing w:val="-4"/>
          <w:sz w:val="24"/>
          <w:szCs w:val="24"/>
          <w:highlight w:val="none"/>
        </w:rPr>
      </w:pPr>
    </w:p>
    <w:p w14:paraId="5649E3AE">
      <w:pPr>
        <w:spacing w:before="78" w:line="219" w:lineRule="auto"/>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附：法定代表人的身份证</w:t>
      </w:r>
      <w:r>
        <w:rPr>
          <w:rFonts w:hint="eastAsia" w:ascii="宋体" w:hAnsi="宋体" w:eastAsia="宋体" w:cs="宋体"/>
          <w:b/>
          <w:bCs/>
          <w:color w:val="auto"/>
          <w:spacing w:val="-4"/>
          <w:sz w:val="24"/>
          <w:szCs w:val="24"/>
          <w:highlight w:val="none"/>
          <w:lang w:val="en-US" w:eastAsia="zh-CN"/>
        </w:rPr>
        <w:t>正反面</w:t>
      </w:r>
      <w:r>
        <w:rPr>
          <w:rFonts w:ascii="宋体" w:hAnsi="宋体" w:eastAsia="宋体" w:cs="宋体"/>
          <w:b/>
          <w:bCs/>
          <w:color w:val="auto"/>
          <w:spacing w:val="-4"/>
          <w:sz w:val="24"/>
          <w:szCs w:val="24"/>
          <w:highlight w:val="none"/>
        </w:rPr>
        <w:t>复印件盖单位公章</w:t>
      </w:r>
    </w:p>
    <w:p w14:paraId="64EA8D36">
      <w:pPr>
        <w:spacing w:line="219" w:lineRule="auto"/>
        <w:rPr>
          <w:rFonts w:ascii="宋体" w:hAnsi="宋体" w:eastAsia="宋体" w:cs="宋体"/>
          <w:color w:val="auto"/>
          <w:sz w:val="24"/>
          <w:szCs w:val="24"/>
          <w:highlight w:val="none"/>
        </w:rPr>
        <w:sectPr>
          <w:footerReference r:id="rId13" w:type="default"/>
          <w:pgSz w:w="11907" w:h="16839"/>
          <w:pgMar w:top="1423" w:right="1347" w:bottom="1154" w:left="1614" w:header="0" w:footer="988" w:gutter="0"/>
          <w:pgNumType w:fmt="decimal"/>
          <w:cols w:space="720" w:num="1"/>
        </w:sectPr>
      </w:pPr>
    </w:p>
    <w:p w14:paraId="0E2C13A0">
      <w:pPr>
        <w:spacing w:before="64" w:line="224" w:lineRule="auto"/>
        <w:ind w:left="27"/>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6"/>
          <w:sz w:val="31"/>
          <w:szCs w:val="31"/>
          <w:highlight w:val="none"/>
        </w:rPr>
        <w:t xml:space="preserve"> </w:t>
      </w:r>
      <w:r>
        <w:rPr>
          <w:rFonts w:ascii="宋体" w:hAnsi="宋体" w:eastAsia="宋体" w:cs="宋体"/>
          <w:color w:val="auto"/>
          <w:spacing w:val="-7"/>
          <w:sz w:val="31"/>
          <w:szCs w:val="31"/>
          <w:highlight w:val="none"/>
        </w:rPr>
        <w:t>3</w:t>
      </w:r>
    </w:p>
    <w:p w14:paraId="1EE28464">
      <w:pPr>
        <w:spacing w:before="195" w:line="224" w:lineRule="auto"/>
        <w:ind w:left="2125"/>
        <w:outlineLvl w:val="2"/>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法</w:t>
      </w:r>
      <w:r>
        <w:rPr>
          <w:rFonts w:ascii="宋体" w:hAnsi="宋体" w:eastAsia="宋体" w:cs="宋体"/>
          <w:color w:val="auto"/>
          <w:spacing w:val="35"/>
          <w:sz w:val="31"/>
          <w:szCs w:val="31"/>
          <w:highlight w:val="none"/>
        </w:rPr>
        <w:t xml:space="preserve"> </w:t>
      </w:r>
      <w:r>
        <w:rPr>
          <w:rFonts w:ascii="宋体" w:hAnsi="宋体" w:eastAsia="宋体" w:cs="宋体"/>
          <w:b/>
          <w:bCs/>
          <w:color w:val="auto"/>
          <w:spacing w:val="-5"/>
          <w:sz w:val="31"/>
          <w:szCs w:val="31"/>
          <w:highlight w:val="none"/>
        </w:rPr>
        <w:t>定</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代</w:t>
      </w:r>
      <w:r>
        <w:rPr>
          <w:rFonts w:ascii="宋体" w:hAnsi="宋体" w:eastAsia="宋体" w:cs="宋体"/>
          <w:color w:val="auto"/>
          <w:spacing w:val="19"/>
          <w:sz w:val="31"/>
          <w:szCs w:val="31"/>
          <w:highlight w:val="none"/>
        </w:rPr>
        <w:t xml:space="preserve"> </w:t>
      </w:r>
      <w:r>
        <w:rPr>
          <w:rFonts w:ascii="宋体" w:hAnsi="宋体" w:eastAsia="宋体" w:cs="宋体"/>
          <w:b/>
          <w:bCs/>
          <w:color w:val="auto"/>
          <w:spacing w:val="-5"/>
          <w:sz w:val="31"/>
          <w:szCs w:val="31"/>
          <w:highlight w:val="none"/>
        </w:rPr>
        <w:t>表</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5"/>
          <w:sz w:val="31"/>
          <w:szCs w:val="31"/>
          <w:highlight w:val="none"/>
        </w:rPr>
        <w:t>人</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授</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5"/>
          <w:sz w:val="31"/>
          <w:szCs w:val="31"/>
          <w:highlight w:val="none"/>
        </w:rPr>
        <w:t>权</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委</w:t>
      </w:r>
      <w:r>
        <w:rPr>
          <w:rFonts w:ascii="宋体" w:hAnsi="宋体" w:eastAsia="宋体" w:cs="宋体"/>
          <w:color w:val="auto"/>
          <w:spacing w:val="20"/>
          <w:sz w:val="31"/>
          <w:szCs w:val="31"/>
          <w:highlight w:val="none"/>
        </w:rPr>
        <w:t xml:space="preserve"> </w:t>
      </w:r>
      <w:r>
        <w:rPr>
          <w:rFonts w:ascii="宋体" w:hAnsi="宋体" w:eastAsia="宋体" w:cs="宋体"/>
          <w:b/>
          <w:bCs/>
          <w:color w:val="auto"/>
          <w:spacing w:val="-5"/>
          <w:sz w:val="31"/>
          <w:szCs w:val="31"/>
          <w:highlight w:val="none"/>
        </w:rPr>
        <w:t>托</w:t>
      </w:r>
      <w:r>
        <w:rPr>
          <w:rFonts w:ascii="宋体" w:hAnsi="宋体" w:eastAsia="宋体" w:cs="宋体"/>
          <w:color w:val="auto"/>
          <w:spacing w:val="27"/>
          <w:sz w:val="31"/>
          <w:szCs w:val="31"/>
          <w:highlight w:val="none"/>
        </w:rPr>
        <w:t xml:space="preserve"> </w:t>
      </w:r>
      <w:r>
        <w:rPr>
          <w:rFonts w:ascii="宋体" w:hAnsi="宋体" w:eastAsia="宋体" w:cs="宋体"/>
          <w:b/>
          <w:bCs/>
          <w:color w:val="auto"/>
          <w:spacing w:val="-5"/>
          <w:sz w:val="31"/>
          <w:szCs w:val="31"/>
          <w:highlight w:val="none"/>
        </w:rPr>
        <w:t>书</w:t>
      </w:r>
    </w:p>
    <w:p w14:paraId="4417859C">
      <w:pPr>
        <w:pStyle w:val="2"/>
        <w:spacing w:line="244" w:lineRule="auto"/>
        <w:rPr>
          <w:color w:val="auto"/>
          <w:highlight w:val="none"/>
        </w:rPr>
      </w:pPr>
    </w:p>
    <w:p w14:paraId="242FE358">
      <w:pPr>
        <w:pStyle w:val="2"/>
        <w:spacing w:line="244" w:lineRule="auto"/>
        <w:rPr>
          <w:color w:val="auto"/>
          <w:highlight w:val="none"/>
        </w:rPr>
      </w:pPr>
    </w:p>
    <w:p w14:paraId="7E07A484">
      <w:pPr>
        <w:spacing w:before="78" w:line="220" w:lineRule="auto"/>
        <w:ind w:left="4"/>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u w:val="single" w:color="auto"/>
          <w:lang w:eastAsia="zh-CN"/>
        </w:rPr>
        <w:t>启东市自来水厂有限公司</w:t>
      </w:r>
      <w:r>
        <w:rPr>
          <w:rFonts w:ascii="宋体" w:hAnsi="宋体" w:eastAsia="宋体" w:cs="宋体"/>
          <w:color w:val="auto"/>
          <w:spacing w:val="-1"/>
          <w:sz w:val="24"/>
          <w:szCs w:val="24"/>
          <w:highlight w:val="none"/>
        </w:rPr>
        <w:t>：</w:t>
      </w:r>
    </w:p>
    <w:p w14:paraId="2367990D">
      <w:pPr>
        <w:tabs>
          <w:tab w:val="left" w:pos="2631"/>
        </w:tabs>
        <w:spacing w:before="155" w:line="334" w:lineRule="auto"/>
        <w:ind w:firstLine="710"/>
        <w:jc w:val="both"/>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5"/>
          <w:sz w:val="24"/>
          <w:szCs w:val="24"/>
          <w:highlight w:val="none"/>
        </w:rPr>
        <w:t xml:space="preserve"> </w:t>
      </w:r>
      <w:r>
        <w:rPr>
          <w:rFonts w:ascii="宋体" w:hAnsi="宋体" w:eastAsia="宋体" w:cs="宋体"/>
          <w:color w:val="auto"/>
          <w:spacing w:val="31"/>
          <w:sz w:val="24"/>
          <w:szCs w:val="24"/>
          <w:highlight w:val="none"/>
        </w:rPr>
        <w:t>系中华人民共和国合法企业（或事业单位</w:t>
      </w:r>
      <w:r>
        <w:rPr>
          <w:rFonts w:ascii="宋体" w:hAnsi="宋体" w:eastAsia="宋体" w:cs="宋体"/>
          <w:color w:val="auto"/>
          <w:spacing w:val="36"/>
          <w:sz w:val="24"/>
          <w:szCs w:val="24"/>
          <w:highlight w:val="none"/>
        </w:rPr>
        <w:t>），</w:t>
      </w:r>
      <w:r>
        <w:rPr>
          <w:rFonts w:ascii="宋体" w:hAnsi="宋体" w:eastAsia="宋体" w:cs="宋体"/>
          <w:color w:val="auto"/>
          <w:spacing w:val="31"/>
          <w:sz w:val="24"/>
          <w:szCs w:val="24"/>
          <w:highlight w:val="none"/>
        </w:rPr>
        <w:t>法定地</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址</w:t>
      </w:r>
      <w:r>
        <w:rPr>
          <w:rFonts w:ascii="宋体" w:hAnsi="宋体" w:eastAsia="宋体" w:cs="宋体"/>
          <w:color w:val="auto"/>
          <w:spacing w:val="1"/>
          <w:sz w:val="24"/>
          <w:szCs w:val="24"/>
          <w:highlight w:val="none"/>
        </w:rPr>
        <w:t>：</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
          <w:sz w:val="24"/>
          <w:szCs w:val="24"/>
          <w:highlight w:val="none"/>
        </w:rPr>
        <w:t>，</w:t>
      </w:r>
      <w:r>
        <w:rPr>
          <w:rFonts w:ascii="宋体" w:hAnsi="宋体" w:eastAsia="宋体" w:cs="宋体"/>
          <w:color w:val="auto"/>
          <w:spacing w:val="-2"/>
          <w:sz w:val="24"/>
          <w:szCs w:val="24"/>
          <w:highlight w:val="none"/>
        </w:rPr>
        <w:t>特授权</w:t>
      </w:r>
      <w:r>
        <w:rPr>
          <w:rFonts w:ascii="宋体" w:hAnsi="宋体" w:eastAsia="宋体" w:cs="宋体"/>
          <w:color w:val="auto"/>
          <w:spacing w:val="-112"/>
          <w:sz w:val="24"/>
          <w:szCs w:val="24"/>
          <w:highlight w:val="none"/>
        </w:rPr>
        <w:t xml:space="preserve"> </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112"/>
          <w:sz w:val="24"/>
          <w:szCs w:val="24"/>
          <w:highlight w:val="none"/>
        </w:rPr>
        <w:t xml:space="preserve"> </w:t>
      </w:r>
      <w:r>
        <w:rPr>
          <w:rFonts w:ascii="宋体" w:hAnsi="宋体" w:eastAsia="宋体" w:cs="宋体"/>
          <w:color w:val="auto"/>
          <w:spacing w:val="-2"/>
          <w:sz w:val="24"/>
          <w:szCs w:val="24"/>
          <w:highlight w:val="none"/>
        </w:rPr>
        <w:t>代表我单位全权办理针对</w:t>
      </w:r>
      <w:r>
        <w:rPr>
          <w:rFonts w:hint="eastAsia" w:ascii="宋体" w:hAnsi="宋体" w:eastAsia="宋体" w:cs="宋体"/>
          <w:b/>
          <w:bCs/>
          <w:color w:val="auto"/>
          <w:spacing w:val="0"/>
          <w:sz w:val="24"/>
          <w:szCs w:val="24"/>
          <w:highlight w:val="none"/>
          <w:u w:val="single"/>
          <w:lang w:eastAsia="zh-CN"/>
        </w:rPr>
        <w:t>启东市自来水厂有限公司消防栓2025-2026年度采购项目</w:t>
      </w:r>
      <w:r>
        <w:rPr>
          <w:rFonts w:ascii="宋体" w:hAnsi="宋体" w:eastAsia="宋体" w:cs="宋体"/>
          <w:color w:val="auto"/>
          <w:spacing w:val="-1"/>
          <w:sz w:val="24"/>
          <w:szCs w:val="24"/>
          <w:highlight w:val="none"/>
        </w:rPr>
        <w:t>的投标，并签署全部</w:t>
      </w:r>
      <w:r>
        <w:rPr>
          <w:rFonts w:ascii="宋体" w:hAnsi="宋体" w:eastAsia="宋体" w:cs="宋体"/>
          <w:color w:val="auto"/>
          <w:sz w:val="24"/>
          <w:szCs w:val="24"/>
          <w:highlight w:val="none"/>
        </w:rPr>
        <w:t>有关文件、协议及合同。我单位对被授权人签名的所有文件负全部责任。被授权人签署的所有文件（在授权书有效期内签署的）不因授权的撤销而失效，本授权书自投标</w:t>
      </w:r>
      <w:r>
        <w:rPr>
          <w:rFonts w:ascii="宋体" w:hAnsi="宋体" w:eastAsia="宋体" w:cs="宋体"/>
          <w:color w:val="auto"/>
          <w:spacing w:val="-4"/>
          <w:sz w:val="24"/>
          <w:szCs w:val="24"/>
          <w:highlight w:val="none"/>
        </w:rPr>
        <w:t>开始至合同履行完毕止。</w:t>
      </w:r>
    </w:p>
    <w:p w14:paraId="0A973E3A">
      <w:pPr>
        <w:spacing w:before="35" w:line="220" w:lineRule="auto"/>
        <w:ind w:left="7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被授权人无权转委托。</w:t>
      </w:r>
    </w:p>
    <w:p w14:paraId="5467C655">
      <w:pPr>
        <w:pStyle w:val="2"/>
        <w:spacing w:line="255" w:lineRule="auto"/>
        <w:rPr>
          <w:color w:val="auto"/>
          <w:highlight w:val="none"/>
        </w:rPr>
      </w:pPr>
    </w:p>
    <w:p w14:paraId="529D6FF4">
      <w:pPr>
        <w:pStyle w:val="2"/>
        <w:spacing w:line="256" w:lineRule="auto"/>
        <w:rPr>
          <w:color w:val="auto"/>
          <w:highlight w:val="none"/>
        </w:rPr>
      </w:pPr>
    </w:p>
    <w:p w14:paraId="020D8735">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被授权人（签字或盖章）：</w:t>
      </w:r>
      <w:r>
        <w:rPr>
          <w:rFonts w:ascii="宋体" w:hAnsi="宋体" w:eastAsia="宋体" w:cs="宋体"/>
          <w:color w:val="auto"/>
          <w:spacing w:val="17"/>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1"/>
          <w:sz w:val="24"/>
          <w:szCs w:val="24"/>
          <w:highlight w:val="none"/>
        </w:rPr>
        <w:t>性别：</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
          <w:sz w:val="24"/>
          <w:szCs w:val="24"/>
          <w:highlight w:val="none"/>
        </w:rPr>
        <w:t>年龄</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2"/>
          <w:sz w:val="24"/>
          <w:szCs w:val="24"/>
          <w:highlight w:val="none"/>
        </w:rPr>
        <w:t>职务：</w:t>
      </w:r>
      <w:r>
        <w:rPr>
          <w:rFonts w:ascii="宋体" w:hAnsi="宋体" w:eastAsia="宋体" w:cs="宋体"/>
          <w:color w:val="auto"/>
          <w:sz w:val="24"/>
          <w:szCs w:val="24"/>
          <w:highlight w:val="none"/>
          <w:u w:val="single" w:color="auto"/>
        </w:rPr>
        <w:t xml:space="preserve">       </w:t>
      </w:r>
    </w:p>
    <w:p w14:paraId="011FC1E5">
      <w:pPr>
        <w:pStyle w:val="2"/>
        <w:spacing w:line="257" w:lineRule="auto"/>
        <w:rPr>
          <w:color w:val="auto"/>
          <w:highlight w:val="none"/>
        </w:rPr>
      </w:pPr>
    </w:p>
    <w:p w14:paraId="28100173">
      <w:pPr>
        <w:pStyle w:val="2"/>
        <w:spacing w:line="257" w:lineRule="auto"/>
        <w:rPr>
          <w:color w:val="auto"/>
          <w:highlight w:val="none"/>
        </w:rPr>
      </w:pPr>
    </w:p>
    <w:p w14:paraId="763E2576">
      <w:pPr>
        <w:spacing w:before="78" w:line="220" w:lineRule="auto"/>
        <w:ind w:left="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r>
        <w:rPr>
          <w:rFonts w:ascii="宋体" w:hAnsi="宋体" w:eastAsia="宋体" w:cs="宋体"/>
          <w:color w:val="auto"/>
          <w:sz w:val="24"/>
          <w:szCs w:val="24"/>
          <w:highlight w:val="none"/>
          <w:u w:val="single" w:color="auto"/>
        </w:rPr>
        <w:t xml:space="preserve">                                        </w:t>
      </w:r>
    </w:p>
    <w:p w14:paraId="31F4C7D2">
      <w:pPr>
        <w:pStyle w:val="2"/>
        <w:spacing w:line="257" w:lineRule="auto"/>
        <w:rPr>
          <w:color w:val="auto"/>
          <w:highlight w:val="none"/>
        </w:rPr>
      </w:pPr>
    </w:p>
    <w:p w14:paraId="4E606382">
      <w:pPr>
        <w:pStyle w:val="2"/>
        <w:spacing w:line="257" w:lineRule="auto"/>
        <w:rPr>
          <w:color w:val="auto"/>
          <w:highlight w:val="none"/>
        </w:rPr>
      </w:pPr>
    </w:p>
    <w:p w14:paraId="0A8B9BB1">
      <w:pPr>
        <w:spacing w:before="79" w:line="227"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通讯地址：</w:t>
      </w:r>
      <w:r>
        <w:rPr>
          <w:rFonts w:ascii="宋体" w:hAnsi="宋体" w:eastAsia="宋体" w:cs="宋体"/>
          <w:color w:val="auto"/>
          <w:sz w:val="24"/>
          <w:szCs w:val="24"/>
          <w:highlight w:val="none"/>
          <w:u w:val="single" w:color="auto"/>
        </w:rPr>
        <w:t xml:space="preserve">                                          </w:t>
      </w:r>
    </w:p>
    <w:p w14:paraId="416097A9">
      <w:pPr>
        <w:pStyle w:val="2"/>
        <w:spacing w:line="251" w:lineRule="auto"/>
        <w:rPr>
          <w:color w:val="auto"/>
          <w:highlight w:val="none"/>
        </w:rPr>
      </w:pPr>
    </w:p>
    <w:p w14:paraId="67F05A13">
      <w:pPr>
        <w:pStyle w:val="2"/>
        <w:spacing w:line="251" w:lineRule="auto"/>
        <w:rPr>
          <w:color w:val="auto"/>
          <w:highlight w:val="none"/>
        </w:rPr>
      </w:pPr>
    </w:p>
    <w:p w14:paraId="216B7C41">
      <w:pPr>
        <w:spacing w:before="78" w:line="222"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r>
        <w:rPr>
          <w:rFonts w:ascii="宋体" w:hAnsi="宋体" w:eastAsia="宋体" w:cs="宋体"/>
          <w:color w:val="auto"/>
          <w:sz w:val="24"/>
          <w:szCs w:val="24"/>
          <w:highlight w:val="none"/>
          <w:u w:val="single" w:color="auto"/>
        </w:rPr>
        <w:t xml:space="preserve">                                          </w:t>
      </w:r>
    </w:p>
    <w:p w14:paraId="5C274CF2">
      <w:pPr>
        <w:pStyle w:val="2"/>
        <w:spacing w:line="255" w:lineRule="auto"/>
        <w:rPr>
          <w:color w:val="auto"/>
          <w:highlight w:val="none"/>
        </w:rPr>
      </w:pPr>
    </w:p>
    <w:p w14:paraId="0A200828">
      <w:pPr>
        <w:pStyle w:val="2"/>
        <w:spacing w:line="256" w:lineRule="auto"/>
        <w:rPr>
          <w:color w:val="auto"/>
          <w:highlight w:val="none"/>
        </w:rPr>
      </w:pPr>
    </w:p>
    <w:p w14:paraId="401F67C2">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p>
    <w:p w14:paraId="0DDF7256">
      <w:pPr>
        <w:pStyle w:val="2"/>
        <w:spacing w:line="257" w:lineRule="auto"/>
        <w:rPr>
          <w:color w:val="auto"/>
          <w:highlight w:val="none"/>
        </w:rPr>
      </w:pPr>
    </w:p>
    <w:p w14:paraId="633B2412">
      <w:pPr>
        <w:pStyle w:val="2"/>
        <w:spacing w:line="257" w:lineRule="auto"/>
        <w:rPr>
          <w:color w:val="auto"/>
          <w:highlight w:val="none"/>
        </w:rPr>
      </w:pPr>
    </w:p>
    <w:p w14:paraId="1EF45731">
      <w:pPr>
        <w:spacing w:before="79"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供应商（盖公章）：</w:t>
      </w:r>
      <w:r>
        <w:rPr>
          <w:rFonts w:ascii="宋体" w:hAnsi="宋体" w:eastAsia="宋体" w:cs="宋体"/>
          <w:color w:val="auto"/>
          <w:sz w:val="24"/>
          <w:szCs w:val="24"/>
          <w:highlight w:val="none"/>
          <w:u w:val="single" w:color="auto"/>
        </w:rPr>
        <w:t xml:space="preserve">                           </w:t>
      </w:r>
    </w:p>
    <w:p w14:paraId="4462FD50">
      <w:pPr>
        <w:pStyle w:val="2"/>
        <w:spacing w:line="256" w:lineRule="auto"/>
        <w:rPr>
          <w:color w:val="auto"/>
          <w:highlight w:val="none"/>
        </w:rPr>
      </w:pPr>
    </w:p>
    <w:p w14:paraId="5FFEB19A">
      <w:pPr>
        <w:pStyle w:val="2"/>
        <w:spacing w:line="256" w:lineRule="auto"/>
        <w:rPr>
          <w:color w:val="auto"/>
          <w:highlight w:val="none"/>
        </w:rPr>
      </w:pPr>
    </w:p>
    <w:p w14:paraId="05D0252F">
      <w:pPr>
        <w:spacing w:before="79" w:line="220" w:lineRule="auto"/>
        <w:ind w:left="3641"/>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 xml:space="preserve">日期：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1"/>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1"/>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1"/>
          <w:sz w:val="24"/>
          <w:szCs w:val="24"/>
          <w:highlight w:val="none"/>
        </w:rPr>
        <w:t>日</w:t>
      </w:r>
    </w:p>
    <w:p w14:paraId="3C4028E6">
      <w:pPr>
        <w:pStyle w:val="2"/>
        <w:spacing w:line="357" w:lineRule="auto"/>
        <w:rPr>
          <w:color w:val="auto"/>
          <w:highlight w:val="none"/>
        </w:rPr>
      </w:pPr>
    </w:p>
    <w:p w14:paraId="362F3ED9">
      <w:pPr>
        <w:pStyle w:val="2"/>
        <w:spacing w:line="357" w:lineRule="auto"/>
        <w:rPr>
          <w:color w:val="auto"/>
          <w:highlight w:val="none"/>
        </w:rPr>
      </w:pPr>
    </w:p>
    <w:p w14:paraId="3D3F748A">
      <w:pPr>
        <w:spacing w:before="78" w:line="219" w:lineRule="auto"/>
        <w:ind w:left="1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附：被授权人身份证正反面复印件盖公章</w:t>
      </w:r>
    </w:p>
    <w:p w14:paraId="351DE7E7">
      <w:pPr>
        <w:spacing w:line="219" w:lineRule="auto"/>
        <w:rPr>
          <w:rFonts w:ascii="宋体" w:hAnsi="宋体" w:eastAsia="宋体" w:cs="宋体"/>
          <w:color w:val="auto"/>
          <w:sz w:val="24"/>
          <w:szCs w:val="24"/>
          <w:highlight w:val="none"/>
        </w:rPr>
        <w:sectPr>
          <w:footerReference r:id="rId14" w:type="default"/>
          <w:pgSz w:w="11907" w:h="16839"/>
          <w:pgMar w:top="1423" w:right="1416" w:bottom="1154" w:left="1596" w:header="0" w:footer="988" w:gutter="0"/>
          <w:pgNumType w:fmt="decimal"/>
          <w:cols w:space="720" w:num="1"/>
        </w:sectPr>
      </w:pPr>
    </w:p>
    <w:p w14:paraId="3156C94C">
      <w:pPr>
        <w:spacing w:before="64" w:line="224" w:lineRule="auto"/>
        <w:ind w:left="26"/>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64"/>
          <w:sz w:val="31"/>
          <w:szCs w:val="31"/>
          <w:highlight w:val="none"/>
        </w:rPr>
        <w:t xml:space="preserve"> </w:t>
      </w:r>
      <w:r>
        <w:rPr>
          <w:rFonts w:ascii="宋体" w:hAnsi="宋体" w:eastAsia="宋体" w:cs="宋体"/>
          <w:color w:val="auto"/>
          <w:spacing w:val="-7"/>
          <w:sz w:val="31"/>
          <w:szCs w:val="31"/>
          <w:highlight w:val="none"/>
        </w:rPr>
        <w:t>4</w:t>
      </w:r>
    </w:p>
    <w:p w14:paraId="4F9775BF">
      <w:pPr>
        <w:spacing w:before="255" w:line="219" w:lineRule="auto"/>
        <w:ind w:left="3189"/>
        <w:outlineLvl w:val="2"/>
        <w:rPr>
          <w:rFonts w:ascii="宋体" w:hAnsi="宋体" w:eastAsia="宋体" w:cs="宋体"/>
          <w:color w:val="auto"/>
          <w:sz w:val="36"/>
          <w:szCs w:val="36"/>
          <w:highlight w:val="none"/>
        </w:rPr>
      </w:pPr>
      <w:r>
        <w:rPr>
          <w:rFonts w:ascii="宋体" w:hAnsi="宋体" w:eastAsia="宋体" w:cs="宋体"/>
          <w:b/>
          <w:bCs/>
          <w:color w:val="auto"/>
          <w:spacing w:val="-16"/>
          <w:sz w:val="36"/>
          <w:szCs w:val="36"/>
          <w:highlight w:val="none"/>
        </w:rPr>
        <w:t>质</w:t>
      </w:r>
      <w:r>
        <w:rPr>
          <w:rFonts w:ascii="宋体" w:hAnsi="宋体" w:eastAsia="宋体" w:cs="宋体"/>
          <w:color w:val="auto"/>
          <w:spacing w:val="18"/>
          <w:sz w:val="36"/>
          <w:szCs w:val="36"/>
          <w:highlight w:val="none"/>
        </w:rPr>
        <w:t xml:space="preserve"> </w:t>
      </w:r>
      <w:r>
        <w:rPr>
          <w:rFonts w:ascii="宋体" w:hAnsi="宋体" w:eastAsia="宋体" w:cs="宋体"/>
          <w:b/>
          <w:bCs/>
          <w:color w:val="auto"/>
          <w:spacing w:val="-16"/>
          <w:sz w:val="36"/>
          <w:szCs w:val="36"/>
          <w:highlight w:val="none"/>
        </w:rPr>
        <w:t>保</w:t>
      </w:r>
      <w:r>
        <w:rPr>
          <w:rFonts w:ascii="宋体" w:hAnsi="宋体" w:eastAsia="宋体" w:cs="宋体"/>
          <w:color w:val="auto"/>
          <w:spacing w:val="17"/>
          <w:sz w:val="36"/>
          <w:szCs w:val="36"/>
          <w:highlight w:val="none"/>
        </w:rPr>
        <w:t xml:space="preserve"> </w:t>
      </w:r>
      <w:r>
        <w:rPr>
          <w:rFonts w:ascii="宋体" w:hAnsi="宋体" w:eastAsia="宋体" w:cs="宋体"/>
          <w:b/>
          <w:bCs/>
          <w:color w:val="auto"/>
          <w:spacing w:val="-16"/>
          <w:sz w:val="36"/>
          <w:szCs w:val="36"/>
          <w:highlight w:val="none"/>
        </w:rPr>
        <w:t>承</w:t>
      </w:r>
      <w:r>
        <w:rPr>
          <w:rFonts w:ascii="宋体" w:hAnsi="宋体" w:eastAsia="宋体" w:cs="宋体"/>
          <w:color w:val="auto"/>
          <w:spacing w:val="17"/>
          <w:sz w:val="36"/>
          <w:szCs w:val="36"/>
          <w:highlight w:val="none"/>
        </w:rPr>
        <w:t xml:space="preserve"> </w:t>
      </w:r>
      <w:r>
        <w:rPr>
          <w:rFonts w:ascii="宋体" w:hAnsi="宋体" w:eastAsia="宋体" w:cs="宋体"/>
          <w:b/>
          <w:bCs/>
          <w:color w:val="auto"/>
          <w:spacing w:val="-16"/>
          <w:sz w:val="36"/>
          <w:szCs w:val="36"/>
          <w:highlight w:val="none"/>
        </w:rPr>
        <w:t>诺</w:t>
      </w:r>
      <w:r>
        <w:rPr>
          <w:rFonts w:ascii="宋体" w:hAnsi="宋体" w:eastAsia="宋体" w:cs="宋体"/>
          <w:color w:val="auto"/>
          <w:spacing w:val="23"/>
          <w:sz w:val="36"/>
          <w:szCs w:val="36"/>
          <w:highlight w:val="none"/>
        </w:rPr>
        <w:t xml:space="preserve"> </w:t>
      </w:r>
      <w:r>
        <w:rPr>
          <w:rFonts w:ascii="宋体" w:hAnsi="宋体" w:eastAsia="宋体" w:cs="宋体"/>
          <w:b/>
          <w:bCs/>
          <w:color w:val="auto"/>
          <w:spacing w:val="-16"/>
          <w:sz w:val="36"/>
          <w:szCs w:val="36"/>
          <w:highlight w:val="none"/>
        </w:rPr>
        <w:t>书</w:t>
      </w:r>
    </w:p>
    <w:p w14:paraId="6118AC1E">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rPr>
        <w:t>启东市自来水厂有限公司</w:t>
      </w:r>
      <w:r>
        <w:rPr>
          <w:rFonts w:ascii="宋体" w:hAnsi="宋体" w:eastAsia="宋体" w:cs="宋体"/>
          <w:color w:val="auto"/>
          <w:spacing w:val="-1"/>
          <w:sz w:val="28"/>
          <w:szCs w:val="28"/>
          <w:highlight w:val="none"/>
        </w:rPr>
        <w:t>：</w:t>
      </w:r>
    </w:p>
    <w:p w14:paraId="32BB53FF">
      <w:pPr>
        <w:keepNext w:val="0"/>
        <w:keepLines w:val="0"/>
        <w:pageBreakBefore w:val="0"/>
        <w:widowControl/>
        <w:tabs>
          <w:tab w:val="left" w:pos="706"/>
        </w:tabs>
        <w:kinsoku w:val="0"/>
        <w:wordWrap/>
        <w:overflowPunct/>
        <w:topLinePunct w:val="0"/>
        <w:autoSpaceDE w:val="0"/>
        <w:autoSpaceDN w:val="0"/>
        <w:bidi w:val="0"/>
        <w:adjustRightInd w:val="0"/>
        <w:snapToGrid w:val="0"/>
        <w:spacing w:line="420" w:lineRule="exact"/>
        <w:ind w:left="0" w:right="0" w:firstLine="543"/>
        <w:jc w:val="left"/>
        <w:textAlignment w:val="baseline"/>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u w:val="single" w:color="auto"/>
        </w:rPr>
        <w:t>（报价供应商全称）</w:t>
      </w:r>
      <w:r>
        <w:rPr>
          <w:rFonts w:ascii="宋体" w:hAnsi="宋体" w:eastAsia="宋体" w:cs="宋体"/>
          <w:color w:val="auto"/>
          <w:spacing w:val="-8"/>
          <w:sz w:val="28"/>
          <w:szCs w:val="28"/>
          <w:highlight w:val="none"/>
        </w:rPr>
        <w:t>授权</w:t>
      </w:r>
      <w:r>
        <w:rPr>
          <w:rFonts w:ascii="宋体" w:hAnsi="宋体" w:eastAsia="宋体" w:cs="宋体"/>
          <w:color w:val="auto"/>
          <w:spacing w:val="-8"/>
          <w:sz w:val="28"/>
          <w:szCs w:val="28"/>
          <w:highlight w:val="none"/>
          <w:u w:val="single" w:color="auto"/>
        </w:rPr>
        <w:t>（姓  名</w:t>
      </w:r>
      <w:r>
        <w:rPr>
          <w:rFonts w:ascii="宋体" w:hAnsi="宋体" w:eastAsia="宋体" w:cs="宋体"/>
          <w:color w:val="auto"/>
          <w:spacing w:val="-10"/>
          <w:sz w:val="28"/>
          <w:szCs w:val="28"/>
          <w:highlight w:val="none"/>
          <w:u w:val="single" w:color="auto"/>
        </w:rPr>
        <w:t>）（</w:t>
      </w:r>
      <w:r>
        <w:rPr>
          <w:rFonts w:ascii="宋体" w:hAnsi="宋体" w:eastAsia="宋体" w:cs="宋体"/>
          <w:color w:val="auto"/>
          <w:spacing w:val="-8"/>
          <w:sz w:val="28"/>
          <w:szCs w:val="28"/>
          <w:highlight w:val="none"/>
          <w:u w:val="single" w:color="auto"/>
        </w:rPr>
        <w:t>职</w:t>
      </w:r>
      <w:r>
        <w:rPr>
          <w:rFonts w:ascii="宋体" w:hAnsi="宋体" w:eastAsia="宋体" w:cs="宋体"/>
          <w:color w:val="auto"/>
          <w:spacing w:val="15"/>
          <w:sz w:val="28"/>
          <w:szCs w:val="28"/>
          <w:highlight w:val="none"/>
          <w:u w:val="single" w:color="auto"/>
        </w:rPr>
        <w:t xml:space="preserve">  </w:t>
      </w:r>
      <w:r>
        <w:rPr>
          <w:rFonts w:ascii="宋体" w:hAnsi="宋体" w:eastAsia="宋体" w:cs="宋体"/>
          <w:color w:val="auto"/>
          <w:spacing w:val="-8"/>
          <w:sz w:val="28"/>
          <w:szCs w:val="28"/>
          <w:highlight w:val="none"/>
          <w:u w:val="single" w:color="auto"/>
        </w:rPr>
        <w:t>务）</w:t>
      </w:r>
      <w:r>
        <w:rPr>
          <w:rFonts w:ascii="宋体" w:hAnsi="宋体" w:eastAsia="宋体" w:cs="宋体"/>
          <w:color w:val="auto"/>
          <w:spacing w:val="-8"/>
          <w:sz w:val="28"/>
          <w:szCs w:val="28"/>
          <w:highlight w:val="none"/>
        </w:rPr>
        <w:t>为</w:t>
      </w:r>
      <w:r>
        <w:rPr>
          <w:rFonts w:ascii="宋体" w:hAnsi="宋体" w:eastAsia="宋体" w:cs="宋体"/>
          <w:color w:val="auto"/>
          <w:spacing w:val="-9"/>
          <w:sz w:val="28"/>
          <w:szCs w:val="28"/>
          <w:highlight w:val="none"/>
        </w:rPr>
        <w:t>全权代表，参加</w:t>
      </w:r>
      <w:r>
        <w:rPr>
          <w:rFonts w:hint="eastAsia" w:ascii="宋体" w:hAnsi="宋体" w:eastAsia="宋体" w:cs="宋体"/>
          <w:b/>
          <w:bCs/>
          <w:color w:val="auto"/>
          <w:spacing w:val="-9"/>
          <w:sz w:val="28"/>
          <w:szCs w:val="28"/>
          <w:highlight w:val="none"/>
          <w:u w:val="single"/>
          <w:lang w:eastAsia="zh-CN"/>
        </w:rPr>
        <w:t>启东市自来水厂有限公司消防栓2025-2026年度采购项目</w:t>
      </w:r>
      <w:r>
        <w:rPr>
          <w:rFonts w:ascii="宋体" w:hAnsi="宋体" w:eastAsia="宋体" w:cs="宋体"/>
          <w:color w:val="auto"/>
          <w:spacing w:val="-1"/>
          <w:sz w:val="28"/>
          <w:szCs w:val="28"/>
          <w:highlight w:val="none"/>
        </w:rPr>
        <w:t>的有关</w:t>
      </w:r>
      <w:r>
        <w:rPr>
          <w:rFonts w:ascii="宋体" w:hAnsi="宋体" w:eastAsia="宋体" w:cs="宋体"/>
          <w:color w:val="auto"/>
          <w:spacing w:val="-6"/>
          <w:sz w:val="28"/>
          <w:szCs w:val="28"/>
          <w:highlight w:val="none"/>
        </w:rPr>
        <w:t>活动，并宣布同意如下：</w:t>
      </w:r>
    </w:p>
    <w:p w14:paraId="6542AD1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1、</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方承诺对本项目所有货物提供符合采购需求、符合国家质量检测标准的全新未使用过的原装合格产品，产品质量符合招标文件要求、行业及国家标准（供货时提供相关证明材料、有效产品合格证）。</w:t>
      </w:r>
    </w:p>
    <w:p w14:paraId="1D61C06F">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2、</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方承诺对本项目所有货物的免费质保期为</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lang w:val="en-US" w:eastAsia="zh-CN"/>
        </w:rPr>
        <w:t>年（含)（原厂质保期高于供应商承诺质保期的，按原厂质保期计算。自验收合格报告签字确认日起，开始进入质保期）。</w:t>
      </w:r>
    </w:p>
    <w:p w14:paraId="10AA48F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质保期内，因供货方所供货物的制造质量出现问题（包含消防栓表面褪色、关不死等情况），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启东水司的采购项目。</w:t>
      </w:r>
    </w:p>
    <w:p w14:paraId="7D94AEFB">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如消防栓表面褪色、关不死等情况，出现一次，进行修复（更换后），第二次仍出现上述问题，采购方有权终止合同，并向供货方索赔。</w:t>
      </w:r>
    </w:p>
    <w:p w14:paraId="55741A1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3、你方有权对我方提供的货物进行市场监管和送样检测，如出现假冒伪劣产品，停止供货，对已供货物我方将无条件给予全套更新或退货，一切经济损失由我方自负。</w:t>
      </w:r>
    </w:p>
    <w:p w14:paraId="15E76A8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val="en-US" w:eastAsia="zh-CN"/>
        </w:rPr>
        <w:t>4、</w:t>
      </w:r>
      <w:r>
        <w:rPr>
          <w:rFonts w:ascii="宋体" w:hAnsi="宋体" w:eastAsia="宋体" w:cs="宋体"/>
          <w:color w:val="auto"/>
          <w:spacing w:val="-1"/>
          <w:sz w:val="28"/>
          <w:szCs w:val="28"/>
          <w:highlight w:val="none"/>
        </w:rPr>
        <w:t>与本项目有关的一切往来通讯请寄：</w:t>
      </w:r>
    </w:p>
    <w:p w14:paraId="4E5E2D2A">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color w:val="auto"/>
          <w:highlight w:val="none"/>
        </w:rPr>
      </w:pPr>
    </w:p>
    <w:p w14:paraId="26A9F12C">
      <w:pPr>
        <w:keepNext w:val="0"/>
        <w:keepLines w:val="0"/>
        <w:pageBreakBefore w:val="0"/>
        <w:widowControl/>
        <w:tabs>
          <w:tab w:val="left" w:pos="7547"/>
        </w:tabs>
        <w:kinsoku w:val="0"/>
        <w:wordWrap/>
        <w:overflowPunct/>
        <w:topLinePunct w:val="0"/>
        <w:autoSpaceDE w:val="0"/>
        <w:autoSpaceDN w:val="0"/>
        <w:bidi w:val="0"/>
        <w:adjustRightInd w:val="0"/>
        <w:snapToGrid w:val="0"/>
        <w:spacing w:line="420" w:lineRule="exact"/>
        <w:ind w:left="0" w:right="0" w:firstLine="2"/>
        <w:jc w:val="left"/>
        <w:textAlignment w:val="baseline"/>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地址：</w:t>
      </w:r>
      <w:r>
        <w:rPr>
          <w:rFonts w:ascii="宋体" w:hAnsi="宋体" w:eastAsia="宋体" w:cs="宋体"/>
          <w:color w:val="auto"/>
          <w:spacing w:val="8"/>
          <w:sz w:val="28"/>
          <w:szCs w:val="28"/>
          <w:highlight w:val="none"/>
          <w:u w:val="single" w:color="auto"/>
        </w:rPr>
        <w:t xml:space="preserve">                 </w:t>
      </w:r>
      <w:r>
        <w:rPr>
          <w:rFonts w:ascii="宋体" w:hAnsi="宋体" w:eastAsia="宋体" w:cs="宋体"/>
          <w:color w:val="auto"/>
          <w:spacing w:val="19"/>
          <w:sz w:val="28"/>
          <w:szCs w:val="28"/>
          <w:highlight w:val="none"/>
        </w:rPr>
        <w:t xml:space="preserve">  </w:t>
      </w:r>
      <w:r>
        <w:rPr>
          <w:rFonts w:ascii="宋体" w:hAnsi="宋体" w:eastAsia="宋体" w:cs="宋体"/>
          <w:color w:val="auto"/>
          <w:spacing w:val="-8"/>
          <w:sz w:val="28"/>
          <w:szCs w:val="28"/>
          <w:highlight w:val="none"/>
        </w:rPr>
        <w:t>邮编：</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 xml:space="preserve"> </w:t>
      </w:r>
    </w:p>
    <w:p w14:paraId="0642CC61">
      <w:pPr>
        <w:keepNext w:val="0"/>
        <w:keepLines w:val="0"/>
        <w:pageBreakBefore w:val="0"/>
        <w:widowControl/>
        <w:tabs>
          <w:tab w:val="left" w:pos="7547"/>
        </w:tabs>
        <w:kinsoku w:val="0"/>
        <w:wordWrap/>
        <w:overflowPunct/>
        <w:topLinePunct w:val="0"/>
        <w:autoSpaceDE w:val="0"/>
        <w:autoSpaceDN w:val="0"/>
        <w:bidi w:val="0"/>
        <w:adjustRightInd w:val="0"/>
        <w:snapToGrid w:val="0"/>
        <w:spacing w:line="420" w:lineRule="exact"/>
        <w:ind w:left="0" w:right="0" w:firstLine="2"/>
        <w:jc w:val="left"/>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电话：</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
          <w:sz w:val="28"/>
          <w:szCs w:val="28"/>
          <w:highlight w:val="none"/>
        </w:rPr>
        <w:t xml:space="preserve">  传真：</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 xml:space="preserve"> </w:t>
      </w:r>
    </w:p>
    <w:p w14:paraId="424EDE50">
      <w:pPr>
        <w:keepNext w:val="0"/>
        <w:keepLines w:val="0"/>
        <w:pageBreakBefore w:val="0"/>
        <w:widowControl/>
        <w:tabs>
          <w:tab w:val="left" w:pos="7547"/>
        </w:tabs>
        <w:kinsoku w:val="0"/>
        <w:wordWrap/>
        <w:overflowPunct/>
        <w:topLinePunct w:val="0"/>
        <w:autoSpaceDE w:val="0"/>
        <w:autoSpaceDN w:val="0"/>
        <w:bidi w:val="0"/>
        <w:adjustRightInd w:val="0"/>
        <w:snapToGrid w:val="0"/>
        <w:spacing w:line="420" w:lineRule="exact"/>
        <w:ind w:left="0" w:right="0" w:firstLine="2"/>
        <w:jc w:val="left"/>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报价单位代表：</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28"/>
          <w:sz w:val="28"/>
          <w:szCs w:val="28"/>
          <w:highlight w:val="none"/>
        </w:rPr>
        <w:t xml:space="preserve"> </w:t>
      </w:r>
      <w:r>
        <w:rPr>
          <w:rFonts w:ascii="宋体" w:hAnsi="宋体" w:eastAsia="宋体" w:cs="宋体"/>
          <w:color w:val="auto"/>
          <w:spacing w:val="-1"/>
          <w:sz w:val="28"/>
          <w:szCs w:val="28"/>
          <w:highlight w:val="none"/>
        </w:rPr>
        <w:t>职务：</w:t>
      </w:r>
      <w:r>
        <w:rPr>
          <w:rFonts w:ascii="宋体" w:hAnsi="宋体" w:eastAsia="宋体" w:cs="宋体"/>
          <w:color w:val="auto"/>
          <w:sz w:val="28"/>
          <w:szCs w:val="28"/>
          <w:highlight w:val="none"/>
          <w:u w:val="single" w:color="auto"/>
        </w:rPr>
        <w:t xml:space="preserve">                   </w:t>
      </w:r>
    </w:p>
    <w:p w14:paraId="4EB4CF66">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pacing w:val="15"/>
          <w:sz w:val="28"/>
          <w:szCs w:val="28"/>
          <w:highlight w:val="none"/>
        </w:rPr>
      </w:pPr>
      <w:r>
        <w:rPr>
          <w:rFonts w:ascii="宋体" w:hAnsi="宋体" w:eastAsia="宋体" w:cs="宋体"/>
          <w:color w:val="auto"/>
          <w:spacing w:val="-1"/>
          <w:sz w:val="28"/>
          <w:szCs w:val="28"/>
          <w:highlight w:val="none"/>
        </w:rPr>
        <w:t>供应商代表移动电话：</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5"/>
          <w:sz w:val="28"/>
          <w:szCs w:val="28"/>
          <w:highlight w:val="none"/>
        </w:rPr>
        <w:t xml:space="preserve"> </w:t>
      </w:r>
    </w:p>
    <w:p w14:paraId="126045F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25C2CCF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ascii="宋体" w:hAnsi="宋体" w:eastAsia="宋体" w:cs="宋体"/>
          <w:color w:val="auto"/>
          <w:spacing w:val="4"/>
          <w:sz w:val="28"/>
          <w:szCs w:val="28"/>
          <w:highlight w:val="none"/>
        </w:rPr>
        <w:t xml:space="preserve">    </w:t>
      </w:r>
      <w:r>
        <w:rPr>
          <w:rFonts w:ascii="宋体" w:hAnsi="宋体" w:eastAsia="宋体" w:cs="宋体"/>
          <w:color w:val="auto"/>
          <w:spacing w:val="-10"/>
          <w:sz w:val="28"/>
          <w:szCs w:val="28"/>
          <w:highlight w:val="none"/>
        </w:rPr>
        <w:t>月</w:t>
      </w:r>
      <w:r>
        <w:rPr>
          <w:rFonts w:ascii="宋体" w:hAnsi="宋体" w:eastAsia="宋体" w:cs="宋体"/>
          <w:color w:val="auto"/>
          <w:spacing w:val="15"/>
          <w:sz w:val="28"/>
          <w:szCs w:val="28"/>
          <w:highlight w:val="none"/>
        </w:rPr>
        <w:t xml:space="preserve">    </w:t>
      </w:r>
      <w:r>
        <w:rPr>
          <w:rFonts w:ascii="宋体" w:hAnsi="宋体" w:eastAsia="宋体" w:cs="宋体"/>
          <w:color w:val="auto"/>
          <w:spacing w:val="-10"/>
          <w:sz w:val="28"/>
          <w:szCs w:val="28"/>
          <w:highlight w:val="none"/>
        </w:rPr>
        <w:t>日</w:t>
      </w:r>
    </w:p>
    <w:p w14:paraId="6D9E00DF">
      <w:pPr>
        <w:spacing w:line="220" w:lineRule="auto"/>
        <w:rPr>
          <w:rFonts w:ascii="宋体" w:hAnsi="宋体" w:eastAsia="宋体" w:cs="宋体"/>
          <w:color w:val="auto"/>
          <w:sz w:val="28"/>
          <w:szCs w:val="28"/>
          <w:highlight w:val="none"/>
        </w:rPr>
        <w:sectPr>
          <w:footerReference r:id="rId15" w:type="default"/>
          <w:pgSz w:w="11907" w:h="16839"/>
          <w:pgMar w:top="1423" w:right="1340" w:bottom="1154" w:left="1597" w:header="0" w:footer="988" w:gutter="0"/>
          <w:pgNumType w:fmt="decimal"/>
          <w:cols w:space="720" w:num="1"/>
        </w:sectPr>
      </w:pPr>
    </w:p>
    <w:p w14:paraId="1CC3F6E9">
      <w:pPr>
        <w:spacing w:before="64" w:line="224" w:lineRule="auto"/>
        <w:ind w:left="28"/>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6"/>
          <w:sz w:val="31"/>
          <w:szCs w:val="31"/>
          <w:highlight w:val="none"/>
        </w:rPr>
        <w:t xml:space="preserve"> </w:t>
      </w:r>
      <w:r>
        <w:rPr>
          <w:rFonts w:ascii="宋体" w:hAnsi="宋体" w:eastAsia="宋体" w:cs="宋体"/>
          <w:color w:val="auto"/>
          <w:spacing w:val="-7"/>
          <w:sz w:val="31"/>
          <w:szCs w:val="31"/>
          <w:highlight w:val="none"/>
        </w:rPr>
        <w:t>5</w:t>
      </w:r>
    </w:p>
    <w:p w14:paraId="43754216">
      <w:pPr>
        <w:pStyle w:val="2"/>
        <w:spacing w:line="274" w:lineRule="auto"/>
        <w:rPr>
          <w:color w:val="auto"/>
          <w:highlight w:val="none"/>
        </w:rPr>
      </w:pPr>
    </w:p>
    <w:p w14:paraId="1991D0E3">
      <w:pPr>
        <w:spacing w:before="319" w:line="218" w:lineRule="auto"/>
        <w:ind w:left="2792"/>
        <w:outlineLvl w:val="2"/>
        <w:rPr>
          <w:rFonts w:ascii="宋体" w:hAnsi="宋体" w:eastAsia="宋体" w:cs="宋体"/>
          <w:color w:val="auto"/>
          <w:sz w:val="30"/>
          <w:szCs w:val="30"/>
          <w:highlight w:val="none"/>
        </w:rPr>
      </w:pPr>
      <w:r>
        <w:rPr>
          <w:rFonts w:ascii="宋体" w:hAnsi="宋体" w:eastAsia="宋体" w:cs="宋体"/>
          <w:b/>
          <w:bCs/>
          <w:color w:val="auto"/>
          <w:spacing w:val="-4"/>
          <w:sz w:val="30"/>
          <w:szCs w:val="30"/>
          <w:highlight w:val="none"/>
        </w:rPr>
        <w:t>报价货物采购要求响应表</w:t>
      </w:r>
    </w:p>
    <w:p w14:paraId="7606B214">
      <w:pPr>
        <w:pStyle w:val="2"/>
        <w:spacing w:line="298" w:lineRule="auto"/>
        <w:rPr>
          <w:color w:val="auto"/>
          <w:highlight w:val="none"/>
        </w:rPr>
      </w:pPr>
    </w:p>
    <w:p w14:paraId="69B09F53">
      <w:pPr>
        <w:spacing w:before="78" w:line="219" w:lineRule="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position w:val="0"/>
          <w:sz w:val="28"/>
          <w:szCs w:val="28"/>
          <w:highlight w:val="none"/>
          <w:lang w:val="en-US" w:eastAsia="zh-CN"/>
        </w:rPr>
        <w:t>项目名称：</w:t>
      </w:r>
      <w:r>
        <w:rPr>
          <w:rFonts w:hint="eastAsia" w:ascii="宋体" w:hAnsi="宋体" w:eastAsia="宋体" w:cs="宋体"/>
          <w:color w:val="auto"/>
          <w:spacing w:val="0"/>
          <w:position w:val="0"/>
          <w:sz w:val="28"/>
          <w:szCs w:val="28"/>
          <w:highlight w:val="none"/>
          <w:lang w:eastAsia="zh-CN"/>
        </w:rPr>
        <w:t>启东市自来水厂有限公司消防栓2025-2026年度采购项目</w:t>
      </w:r>
    </w:p>
    <w:tbl>
      <w:tblPr>
        <w:tblStyle w:val="10"/>
        <w:tblW w:w="8982"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524"/>
        <w:gridCol w:w="2212"/>
        <w:gridCol w:w="2610"/>
        <w:gridCol w:w="1804"/>
      </w:tblGrid>
      <w:tr w14:paraId="5B68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832" w:type="dxa"/>
            <w:vAlign w:val="center"/>
          </w:tcPr>
          <w:p w14:paraId="648E0E93">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6D0A868F">
            <w:pPr>
              <w:pStyle w:val="11"/>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color w:val="auto"/>
                <w:spacing w:val="0"/>
                <w:sz w:val="18"/>
                <w:szCs w:val="18"/>
                <w:highlight w:val="none"/>
              </w:rPr>
            </w:pPr>
            <w:r>
              <w:rPr>
                <w:b/>
                <w:bCs/>
                <w:color w:val="auto"/>
                <w:spacing w:val="0"/>
                <w:sz w:val="18"/>
                <w:szCs w:val="18"/>
                <w:highlight w:val="none"/>
              </w:rPr>
              <w:t>序号</w:t>
            </w:r>
          </w:p>
        </w:tc>
        <w:tc>
          <w:tcPr>
            <w:tcW w:w="1524" w:type="dxa"/>
            <w:vAlign w:val="center"/>
          </w:tcPr>
          <w:p w14:paraId="0915B011">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061A2575">
            <w:pPr>
              <w:pStyle w:val="11"/>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jc w:val="center"/>
              <w:textAlignment w:val="baseline"/>
              <w:rPr>
                <w:color w:val="auto"/>
                <w:spacing w:val="0"/>
                <w:sz w:val="18"/>
                <w:szCs w:val="18"/>
                <w:highlight w:val="none"/>
              </w:rPr>
            </w:pPr>
            <w:r>
              <w:rPr>
                <w:b/>
                <w:bCs/>
                <w:color w:val="auto"/>
                <w:spacing w:val="0"/>
                <w:sz w:val="18"/>
                <w:szCs w:val="18"/>
                <w:highlight w:val="none"/>
              </w:rPr>
              <w:t>产品名称</w:t>
            </w:r>
          </w:p>
        </w:tc>
        <w:tc>
          <w:tcPr>
            <w:tcW w:w="2212" w:type="dxa"/>
            <w:vAlign w:val="center"/>
          </w:tcPr>
          <w:p w14:paraId="20A89968">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58BDF5C4">
            <w:pPr>
              <w:pStyle w:val="11"/>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color w:val="auto"/>
                <w:spacing w:val="0"/>
                <w:sz w:val="18"/>
                <w:szCs w:val="18"/>
                <w:highlight w:val="none"/>
              </w:rPr>
            </w:pPr>
            <w:r>
              <w:rPr>
                <w:b/>
                <w:bCs/>
                <w:color w:val="auto"/>
                <w:spacing w:val="0"/>
                <w:sz w:val="18"/>
                <w:szCs w:val="18"/>
                <w:highlight w:val="none"/>
              </w:rPr>
              <w:t>采购技术参数要求</w:t>
            </w:r>
          </w:p>
        </w:tc>
        <w:tc>
          <w:tcPr>
            <w:tcW w:w="2610" w:type="dxa"/>
            <w:vAlign w:val="center"/>
          </w:tcPr>
          <w:p w14:paraId="055E283E">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534811EE">
            <w:pPr>
              <w:pStyle w:val="11"/>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rPr>
                <w:color w:val="auto"/>
                <w:spacing w:val="0"/>
                <w:sz w:val="18"/>
                <w:szCs w:val="18"/>
                <w:highlight w:val="none"/>
              </w:rPr>
            </w:pPr>
            <w:r>
              <w:rPr>
                <w:b/>
                <w:bCs/>
                <w:color w:val="auto"/>
                <w:spacing w:val="0"/>
                <w:sz w:val="18"/>
                <w:szCs w:val="18"/>
                <w:highlight w:val="none"/>
              </w:rPr>
              <w:t>报价货物详细规格参数</w:t>
            </w:r>
          </w:p>
        </w:tc>
        <w:tc>
          <w:tcPr>
            <w:tcW w:w="1804" w:type="dxa"/>
            <w:vAlign w:val="center"/>
          </w:tcPr>
          <w:p w14:paraId="42CE1D79">
            <w:pPr>
              <w:pStyle w:val="11"/>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rPr>
                <w:color w:val="auto"/>
                <w:spacing w:val="0"/>
                <w:sz w:val="18"/>
                <w:szCs w:val="18"/>
                <w:highlight w:val="none"/>
              </w:rPr>
            </w:pPr>
            <w:r>
              <w:rPr>
                <w:b/>
                <w:bCs/>
                <w:color w:val="auto"/>
                <w:spacing w:val="0"/>
                <w:sz w:val="18"/>
                <w:szCs w:val="18"/>
                <w:highlight w:val="none"/>
              </w:rPr>
              <w:t>报价设备参数响</w:t>
            </w:r>
          </w:p>
          <w:p w14:paraId="58DDA67B">
            <w:pPr>
              <w:pStyle w:val="11"/>
              <w:keepNext w:val="0"/>
              <w:keepLines w:val="0"/>
              <w:pageBreakBefore w:val="0"/>
              <w:widowControl/>
              <w:kinsoku w:val="0"/>
              <w:wordWrap/>
              <w:overflowPunct/>
              <w:topLinePunct w:val="0"/>
              <w:autoSpaceDE w:val="0"/>
              <w:autoSpaceDN w:val="0"/>
              <w:bidi w:val="0"/>
              <w:adjustRightInd w:val="0"/>
              <w:snapToGrid w:val="0"/>
              <w:spacing w:line="230" w:lineRule="auto"/>
              <w:ind w:left="0" w:right="0" w:firstLine="0"/>
              <w:jc w:val="center"/>
              <w:textAlignment w:val="baseline"/>
              <w:rPr>
                <w:color w:val="auto"/>
                <w:spacing w:val="0"/>
                <w:sz w:val="18"/>
                <w:szCs w:val="18"/>
                <w:highlight w:val="none"/>
              </w:rPr>
            </w:pPr>
            <w:r>
              <w:rPr>
                <w:b/>
                <w:bCs/>
                <w:color w:val="auto"/>
                <w:spacing w:val="0"/>
                <w:sz w:val="18"/>
                <w:szCs w:val="18"/>
                <w:highlight w:val="none"/>
              </w:rPr>
              <w:t>应（正偏离、满</w:t>
            </w:r>
            <w:r>
              <w:rPr>
                <w:color w:val="auto"/>
                <w:spacing w:val="0"/>
                <w:sz w:val="18"/>
                <w:szCs w:val="18"/>
                <w:highlight w:val="none"/>
              </w:rPr>
              <w:t xml:space="preserve"> </w:t>
            </w:r>
            <w:r>
              <w:rPr>
                <w:b/>
                <w:bCs/>
                <w:color w:val="auto"/>
                <w:spacing w:val="0"/>
                <w:sz w:val="18"/>
                <w:szCs w:val="18"/>
                <w:highlight w:val="none"/>
              </w:rPr>
              <w:t>足、负偏离）</w:t>
            </w:r>
          </w:p>
        </w:tc>
      </w:tr>
      <w:tr w14:paraId="74D4E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E18CBF4">
            <w:pPr>
              <w:rPr>
                <w:rFonts w:ascii="Arial"/>
                <w:color w:val="auto"/>
                <w:sz w:val="21"/>
                <w:highlight w:val="none"/>
              </w:rPr>
            </w:pPr>
          </w:p>
        </w:tc>
        <w:tc>
          <w:tcPr>
            <w:tcW w:w="1524" w:type="dxa"/>
            <w:vAlign w:val="top"/>
          </w:tcPr>
          <w:p w14:paraId="573EB6C9">
            <w:pPr>
              <w:rPr>
                <w:rFonts w:ascii="Arial"/>
                <w:color w:val="auto"/>
                <w:sz w:val="21"/>
                <w:highlight w:val="none"/>
              </w:rPr>
            </w:pPr>
          </w:p>
        </w:tc>
        <w:tc>
          <w:tcPr>
            <w:tcW w:w="2212" w:type="dxa"/>
            <w:vAlign w:val="top"/>
          </w:tcPr>
          <w:p w14:paraId="4388509D">
            <w:pPr>
              <w:rPr>
                <w:rFonts w:ascii="Arial"/>
                <w:color w:val="auto"/>
                <w:sz w:val="21"/>
                <w:highlight w:val="none"/>
              </w:rPr>
            </w:pPr>
          </w:p>
        </w:tc>
        <w:tc>
          <w:tcPr>
            <w:tcW w:w="2610" w:type="dxa"/>
            <w:vAlign w:val="top"/>
          </w:tcPr>
          <w:p w14:paraId="552C235D">
            <w:pPr>
              <w:rPr>
                <w:rFonts w:ascii="Arial"/>
                <w:color w:val="auto"/>
                <w:sz w:val="21"/>
                <w:highlight w:val="none"/>
              </w:rPr>
            </w:pPr>
          </w:p>
        </w:tc>
        <w:tc>
          <w:tcPr>
            <w:tcW w:w="1804" w:type="dxa"/>
            <w:vAlign w:val="top"/>
          </w:tcPr>
          <w:p w14:paraId="1E3956A4">
            <w:pPr>
              <w:rPr>
                <w:rFonts w:ascii="Arial"/>
                <w:color w:val="auto"/>
                <w:sz w:val="21"/>
                <w:highlight w:val="none"/>
              </w:rPr>
            </w:pPr>
          </w:p>
        </w:tc>
      </w:tr>
      <w:tr w14:paraId="0C054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43FE7A37">
            <w:pPr>
              <w:rPr>
                <w:rFonts w:ascii="Arial"/>
                <w:color w:val="auto"/>
                <w:sz w:val="21"/>
                <w:highlight w:val="none"/>
              </w:rPr>
            </w:pPr>
          </w:p>
        </w:tc>
        <w:tc>
          <w:tcPr>
            <w:tcW w:w="1524" w:type="dxa"/>
            <w:vAlign w:val="top"/>
          </w:tcPr>
          <w:p w14:paraId="4D070C43">
            <w:pPr>
              <w:rPr>
                <w:rFonts w:ascii="Arial"/>
                <w:color w:val="auto"/>
                <w:sz w:val="21"/>
                <w:highlight w:val="none"/>
              </w:rPr>
            </w:pPr>
          </w:p>
        </w:tc>
        <w:tc>
          <w:tcPr>
            <w:tcW w:w="2212" w:type="dxa"/>
            <w:vAlign w:val="top"/>
          </w:tcPr>
          <w:p w14:paraId="3A0E84B4">
            <w:pPr>
              <w:rPr>
                <w:rFonts w:ascii="Arial"/>
                <w:color w:val="auto"/>
                <w:sz w:val="21"/>
                <w:highlight w:val="none"/>
              </w:rPr>
            </w:pPr>
          </w:p>
        </w:tc>
        <w:tc>
          <w:tcPr>
            <w:tcW w:w="2610" w:type="dxa"/>
            <w:vAlign w:val="top"/>
          </w:tcPr>
          <w:p w14:paraId="09709B64">
            <w:pPr>
              <w:rPr>
                <w:rFonts w:ascii="Arial"/>
                <w:color w:val="auto"/>
                <w:sz w:val="21"/>
                <w:highlight w:val="none"/>
              </w:rPr>
            </w:pPr>
          </w:p>
        </w:tc>
        <w:tc>
          <w:tcPr>
            <w:tcW w:w="1804" w:type="dxa"/>
            <w:vAlign w:val="top"/>
          </w:tcPr>
          <w:p w14:paraId="4F225448">
            <w:pPr>
              <w:rPr>
                <w:rFonts w:ascii="Arial"/>
                <w:color w:val="auto"/>
                <w:sz w:val="21"/>
                <w:highlight w:val="none"/>
              </w:rPr>
            </w:pPr>
          </w:p>
        </w:tc>
      </w:tr>
      <w:tr w14:paraId="5646A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4463C65">
            <w:pPr>
              <w:rPr>
                <w:rFonts w:ascii="Arial"/>
                <w:color w:val="auto"/>
                <w:sz w:val="21"/>
                <w:highlight w:val="none"/>
              </w:rPr>
            </w:pPr>
          </w:p>
        </w:tc>
        <w:tc>
          <w:tcPr>
            <w:tcW w:w="1524" w:type="dxa"/>
            <w:vAlign w:val="top"/>
          </w:tcPr>
          <w:p w14:paraId="6806E7D3">
            <w:pPr>
              <w:rPr>
                <w:rFonts w:ascii="Arial"/>
                <w:color w:val="auto"/>
                <w:sz w:val="21"/>
                <w:highlight w:val="none"/>
              </w:rPr>
            </w:pPr>
          </w:p>
        </w:tc>
        <w:tc>
          <w:tcPr>
            <w:tcW w:w="2212" w:type="dxa"/>
            <w:vAlign w:val="top"/>
          </w:tcPr>
          <w:p w14:paraId="129E135C">
            <w:pPr>
              <w:rPr>
                <w:rFonts w:ascii="Arial"/>
                <w:color w:val="auto"/>
                <w:sz w:val="21"/>
                <w:highlight w:val="none"/>
              </w:rPr>
            </w:pPr>
          </w:p>
        </w:tc>
        <w:tc>
          <w:tcPr>
            <w:tcW w:w="2610" w:type="dxa"/>
            <w:vAlign w:val="top"/>
          </w:tcPr>
          <w:p w14:paraId="53D8A7B5">
            <w:pPr>
              <w:rPr>
                <w:rFonts w:ascii="Arial"/>
                <w:color w:val="auto"/>
                <w:sz w:val="21"/>
                <w:highlight w:val="none"/>
              </w:rPr>
            </w:pPr>
          </w:p>
        </w:tc>
        <w:tc>
          <w:tcPr>
            <w:tcW w:w="1804" w:type="dxa"/>
            <w:vAlign w:val="top"/>
          </w:tcPr>
          <w:p w14:paraId="7A264214">
            <w:pPr>
              <w:rPr>
                <w:rFonts w:ascii="Arial"/>
                <w:color w:val="auto"/>
                <w:sz w:val="21"/>
                <w:highlight w:val="none"/>
              </w:rPr>
            </w:pPr>
          </w:p>
        </w:tc>
      </w:tr>
      <w:tr w14:paraId="1C95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B010EE5">
            <w:pPr>
              <w:rPr>
                <w:rFonts w:ascii="Arial"/>
                <w:color w:val="auto"/>
                <w:sz w:val="21"/>
                <w:highlight w:val="none"/>
              </w:rPr>
            </w:pPr>
          </w:p>
        </w:tc>
        <w:tc>
          <w:tcPr>
            <w:tcW w:w="1524" w:type="dxa"/>
            <w:vAlign w:val="top"/>
          </w:tcPr>
          <w:p w14:paraId="3E56406B">
            <w:pPr>
              <w:rPr>
                <w:rFonts w:ascii="Arial"/>
                <w:color w:val="auto"/>
                <w:sz w:val="21"/>
                <w:highlight w:val="none"/>
              </w:rPr>
            </w:pPr>
          </w:p>
        </w:tc>
        <w:tc>
          <w:tcPr>
            <w:tcW w:w="2212" w:type="dxa"/>
            <w:vAlign w:val="top"/>
          </w:tcPr>
          <w:p w14:paraId="42A82E2E">
            <w:pPr>
              <w:rPr>
                <w:rFonts w:ascii="Arial"/>
                <w:color w:val="auto"/>
                <w:sz w:val="21"/>
                <w:highlight w:val="none"/>
              </w:rPr>
            </w:pPr>
          </w:p>
        </w:tc>
        <w:tc>
          <w:tcPr>
            <w:tcW w:w="2610" w:type="dxa"/>
            <w:vAlign w:val="top"/>
          </w:tcPr>
          <w:p w14:paraId="76530EE7">
            <w:pPr>
              <w:rPr>
                <w:rFonts w:ascii="Arial"/>
                <w:color w:val="auto"/>
                <w:sz w:val="21"/>
                <w:highlight w:val="none"/>
              </w:rPr>
            </w:pPr>
          </w:p>
        </w:tc>
        <w:tc>
          <w:tcPr>
            <w:tcW w:w="1804" w:type="dxa"/>
            <w:vAlign w:val="top"/>
          </w:tcPr>
          <w:p w14:paraId="6DB79008">
            <w:pPr>
              <w:rPr>
                <w:rFonts w:ascii="Arial"/>
                <w:color w:val="auto"/>
                <w:sz w:val="21"/>
                <w:highlight w:val="none"/>
              </w:rPr>
            </w:pPr>
          </w:p>
        </w:tc>
      </w:tr>
      <w:tr w14:paraId="7446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06F5EBC">
            <w:pPr>
              <w:rPr>
                <w:rFonts w:ascii="Arial"/>
                <w:color w:val="auto"/>
                <w:sz w:val="21"/>
                <w:highlight w:val="none"/>
              </w:rPr>
            </w:pPr>
          </w:p>
        </w:tc>
        <w:tc>
          <w:tcPr>
            <w:tcW w:w="1524" w:type="dxa"/>
            <w:vAlign w:val="top"/>
          </w:tcPr>
          <w:p w14:paraId="236CFEF6">
            <w:pPr>
              <w:rPr>
                <w:rFonts w:ascii="Arial"/>
                <w:color w:val="auto"/>
                <w:sz w:val="21"/>
                <w:highlight w:val="none"/>
              </w:rPr>
            </w:pPr>
          </w:p>
        </w:tc>
        <w:tc>
          <w:tcPr>
            <w:tcW w:w="2212" w:type="dxa"/>
            <w:vAlign w:val="top"/>
          </w:tcPr>
          <w:p w14:paraId="74428821">
            <w:pPr>
              <w:rPr>
                <w:rFonts w:ascii="Arial"/>
                <w:color w:val="auto"/>
                <w:sz w:val="21"/>
                <w:highlight w:val="none"/>
              </w:rPr>
            </w:pPr>
          </w:p>
        </w:tc>
        <w:tc>
          <w:tcPr>
            <w:tcW w:w="2610" w:type="dxa"/>
            <w:vAlign w:val="top"/>
          </w:tcPr>
          <w:p w14:paraId="588281A9">
            <w:pPr>
              <w:rPr>
                <w:rFonts w:ascii="Arial"/>
                <w:color w:val="auto"/>
                <w:sz w:val="21"/>
                <w:highlight w:val="none"/>
              </w:rPr>
            </w:pPr>
          </w:p>
        </w:tc>
        <w:tc>
          <w:tcPr>
            <w:tcW w:w="1804" w:type="dxa"/>
            <w:vAlign w:val="top"/>
          </w:tcPr>
          <w:p w14:paraId="324A9E37">
            <w:pPr>
              <w:rPr>
                <w:rFonts w:ascii="Arial"/>
                <w:color w:val="auto"/>
                <w:sz w:val="21"/>
                <w:highlight w:val="none"/>
              </w:rPr>
            </w:pPr>
          </w:p>
        </w:tc>
      </w:tr>
      <w:tr w14:paraId="2F93B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B052AE0">
            <w:pPr>
              <w:rPr>
                <w:rFonts w:ascii="Arial"/>
                <w:color w:val="auto"/>
                <w:sz w:val="21"/>
                <w:highlight w:val="none"/>
              </w:rPr>
            </w:pPr>
          </w:p>
        </w:tc>
        <w:tc>
          <w:tcPr>
            <w:tcW w:w="1524" w:type="dxa"/>
            <w:vAlign w:val="top"/>
          </w:tcPr>
          <w:p w14:paraId="08233AA4">
            <w:pPr>
              <w:rPr>
                <w:rFonts w:ascii="Arial"/>
                <w:color w:val="auto"/>
                <w:sz w:val="21"/>
                <w:highlight w:val="none"/>
              </w:rPr>
            </w:pPr>
          </w:p>
        </w:tc>
        <w:tc>
          <w:tcPr>
            <w:tcW w:w="2212" w:type="dxa"/>
            <w:vAlign w:val="top"/>
          </w:tcPr>
          <w:p w14:paraId="5ADA4789">
            <w:pPr>
              <w:rPr>
                <w:rFonts w:ascii="Arial"/>
                <w:color w:val="auto"/>
                <w:sz w:val="21"/>
                <w:highlight w:val="none"/>
              </w:rPr>
            </w:pPr>
          </w:p>
        </w:tc>
        <w:tc>
          <w:tcPr>
            <w:tcW w:w="2610" w:type="dxa"/>
            <w:vAlign w:val="top"/>
          </w:tcPr>
          <w:p w14:paraId="66734326">
            <w:pPr>
              <w:rPr>
                <w:rFonts w:ascii="Arial"/>
                <w:color w:val="auto"/>
                <w:sz w:val="21"/>
                <w:highlight w:val="none"/>
              </w:rPr>
            </w:pPr>
          </w:p>
        </w:tc>
        <w:tc>
          <w:tcPr>
            <w:tcW w:w="1804" w:type="dxa"/>
            <w:vAlign w:val="top"/>
          </w:tcPr>
          <w:p w14:paraId="03CAE5CF">
            <w:pPr>
              <w:rPr>
                <w:rFonts w:ascii="Arial"/>
                <w:color w:val="auto"/>
                <w:sz w:val="21"/>
                <w:highlight w:val="none"/>
              </w:rPr>
            </w:pPr>
          </w:p>
        </w:tc>
      </w:tr>
      <w:tr w14:paraId="2650D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91CCA4B">
            <w:pPr>
              <w:rPr>
                <w:rFonts w:ascii="Arial"/>
                <w:color w:val="auto"/>
                <w:sz w:val="21"/>
                <w:highlight w:val="none"/>
              </w:rPr>
            </w:pPr>
          </w:p>
        </w:tc>
        <w:tc>
          <w:tcPr>
            <w:tcW w:w="1524" w:type="dxa"/>
            <w:vAlign w:val="top"/>
          </w:tcPr>
          <w:p w14:paraId="044E5C0A">
            <w:pPr>
              <w:rPr>
                <w:rFonts w:ascii="Arial"/>
                <w:color w:val="auto"/>
                <w:sz w:val="21"/>
                <w:highlight w:val="none"/>
              </w:rPr>
            </w:pPr>
          </w:p>
        </w:tc>
        <w:tc>
          <w:tcPr>
            <w:tcW w:w="2212" w:type="dxa"/>
            <w:vAlign w:val="top"/>
          </w:tcPr>
          <w:p w14:paraId="61B13A97">
            <w:pPr>
              <w:rPr>
                <w:rFonts w:ascii="Arial"/>
                <w:color w:val="auto"/>
                <w:sz w:val="21"/>
                <w:highlight w:val="none"/>
              </w:rPr>
            </w:pPr>
          </w:p>
        </w:tc>
        <w:tc>
          <w:tcPr>
            <w:tcW w:w="2610" w:type="dxa"/>
            <w:vAlign w:val="top"/>
          </w:tcPr>
          <w:p w14:paraId="221A4E41">
            <w:pPr>
              <w:rPr>
                <w:rFonts w:ascii="Arial"/>
                <w:color w:val="auto"/>
                <w:sz w:val="21"/>
                <w:highlight w:val="none"/>
              </w:rPr>
            </w:pPr>
          </w:p>
        </w:tc>
        <w:tc>
          <w:tcPr>
            <w:tcW w:w="1804" w:type="dxa"/>
            <w:vAlign w:val="top"/>
          </w:tcPr>
          <w:p w14:paraId="7F3D27B8">
            <w:pPr>
              <w:rPr>
                <w:rFonts w:ascii="Arial"/>
                <w:color w:val="auto"/>
                <w:sz w:val="21"/>
                <w:highlight w:val="none"/>
              </w:rPr>
            </w:pPr>
          </w:p>
        </w:tc>
      </w:tr>
      <w:tr w14:paraId="75C49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42D4652">
            <w:pPr>
              <w:rPr>
                <w:rFonts w:ascii="Arial"/>
                <w:color w:val="auto"/>
                <w:sz w:val="21"/>
                <w:highlight w:val="none"/>
              </w:rPr>
            </w:pPr>
          </w:p>
        </w:tc>
        <w:tc>
          <w:tcPr>
            <w:tcW w:w="1524" w:type="dxa"/>
            <w:vAlign w:val="top"/>
          </w:tcPr>
          <w:p w14:paraId="0625237F">
            <w:pPr>
              <w:rPr>
                <w:rFonts w:ascii="Arial"/>
                <w:color w:val="auto"/>
                <w:sz w:val="21"/>
                <w:highlight w:val="none"/>
              </w:rPr>
            </w:pPr>
          </w:p>
        </w:tc>
        <w:tc>
          <w:tcPr>
            <w:tcW w:w="2212" w:type="dxa"/>
            <w:vAlign w:val="top"/>
          </w:tcPr>
          <w:p w14:paraId="59C5CF77">
            <w:pPr>
              <w:rPr>
                <w:rFonts w:ascii="Arial"/>
                <w:color w:val="auto"/>
                <w:sz w:val="21"/>
                <w:highlight w:val="none"/>
              </w:rPr>
            </w:pPr>
          </w:p>
        </w:tc>
        <w:tc>
          <w:tcPr>
            <w:tcW w:w="2610" w:type="dxa"/>
            <w:vAlign w:val="top"/>
          </w:tcPr>
          <w:p w14:paraId="3F98FA68">
            <w:pPr>
              <w:rPr>
                <w:rFonts w:ascii="Arial"/>
                <w:color w:val="auto"/>
                <w:sz w:val="21"/>
                <w:highlight w:val="none"/>
              </w:rPr>
            </w:pPr>
          </w:p>
        </w:tc>
        <w:tc>
          <w:tcPr>
            <w:tcW w:w="1804" w:type="dxa"/>
            <w:vAlign w:val="top"/>
          </w:tcPr>
          <w:p w14:paraId="1EDD7118">
            <w:pPr>
              <w:rPr>
                <w:rFonts w:ascii="Arial"/>
                <w:color w:val="auto"/>
                <w:sz w:val="21"/>
                <w:highlight w:val="none"/>
              </w:rPr>
            </w:pPr>
          </w:p>
        </w:tc>
      </w:tr>
      <w:tr w14:paraId="2FCF7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4A2E7D35">
            <w:pPr>
              <w:rPr>
                <w:rFonts w:ascii="Arial"/>
                <w:color w:val="auto"/>
                <w:sz w:val="21"/>
                <w:highlight w:val="none"/>
              </w:rPr>
            </w:pPr>
          </w:p>
        </w:tc>
        <w:tc>
          <w:tcPr>
            <w:tcW w:w="1524" w:type="dxa"/>
            <w:vAlign w:val="top"/>
          </w:tcPr>
          <w:p w14:paraId="0B305E5E">
            <w:pPr>
              <w:rPr>
                <w:rFonts w:ascii="Arial"/>
                <w:color w:val="auto"/>
                <w:sz w:val="21"/>
                <w:highlight w:val="none"/>
              </w:rPr>
            </w:pPr>
          </w:p>
        </w:tc>
        <w:tc>
          <w:tcPr>
            <w:tcW w:w="2212" w:type="dxa"/>
            <w:vAlign w:val="top"/>
          </w:tcPr>
          <w:p w14:paraId="4B9B383E">
            <w:pPr>
              <w:rPr>
                <w:rFonts w:ascii="Arial"/>
                <w:color w:val="auto"/>
                <w:sz w:val="21"/>
                <w:highlight w:val="none"/>
              </w:rPr>
            </w:pPr>
          </w:p>
        </w:tc>
        <w:tc>
          <w:tcPr>
            <w:tcW w:w="2610" w:type="dxa"/>
            <w:vAlign w:val="top"/>
          </w:tcPr>
          <w:p w14:paraId="5F9FF2D5">
            <w:pPr>
              <w:rPr>
                <w:rFonts w:ascii="Arial"/>
                <w:color w:val="auto"/>
                <w:sz w:val="21"/>
                <w:highlight w:val="none"/>
              </w:rPr>
            </w:pPr>
          </w:p>
        </w:tc>
        <w:tc>
          <w:tcPr>
            <w:tcW w:w="1804" w:type="dxa"/>
            <w:vAlign w:val="top"/>
          </w:tcPr>
          <w:p w14:paraId="06EB3D80">
            <w:pPr>
              <w:rPr>
                <w:rFonts w:ascii="Arial"/>
                <w:color w:val="auto"/>
                <w:sz w:val="21"/>
                <w:highlight w:val="none"/>
              </w:rPr>
            </w:pPr>
          </w:p>
        </w:tc>
      </w:tr>
      <w:tr w14:paraId="2C95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C64942F">
            <w:pPr>
              <w:rPr>
                <w:rFonts w:ascii="Arial"/>
                <w:color w:val="auto"/>
                <w:sz w:val="21"/>
                <w:highlight w:val="none"/>
              </w:rPr>
            </w:pPr>
          </w:p>
        </w:tc>
        <w:tc>
          <w:tcPr>
            <w:tcW w:w="1524" w:type="dxa"/>
            <w:vAlign w:val="top"/>
          </w:tcPr>
          <w:p w14:paraId="1B740356">
            <w:pPr>
              <w:rPr>
                <w:rFonts w:ascii="Arial"/>
                <w:color w:val="auto"/>
                <w:sz w:val="21"/>
                <w:highlight w:val="none"/>
              </w:rPr>
            </w:pPr>
          </w:p>
        </w:tc>
        <w:tc>
          <w:tcPr>
            <w:tcW w:w="2212" w:type="dxa"/>
            <w:vAlign w:val="top"/>
          </w:tcPr>
          <w:p w14:paraId="2127AE06">
            <w:pPr>
              <w:rPr>
                <w:rFonts w:ascii="Arial"/>
                <w:color w:val="auto"/>
                <w:sz w:val="21"/>
                <w:highlight w:val="none"/>
              </w:rPr>
            </w:pPr>
          </w:p>
        </w:tc>
        <w:tc>
          <w:tcPr>
            <w:tcW w:w="2610" w:type="dxa"/>
            <w:vAlign w:val="top"/>
          </w:tcPr>
          <w:p w14:paraId="344B965A">
            <w:pPr>
              <w:rPr>
                <w:rFonts w:ascii="Arial"/>
                <w:color w:val="auto"/>
                <w:sz w:val="21"/>
                <w:highlight w:val="none"/>
              </w:rPr>
            </w:pPr>
          </w:p>
        </w:tc>
        <w:tc>
          <w:tcPr>
            <w:tcW w:w="1804" w:type="dxa"/>
            <w:vAlign w:val="top"/>
          </w:tcPr>
          <w:p w14:paraId="4F3B188E">
            <w:pPr>
              <w:rPr>
                <w:rFonts w:ascii="Arial"/>
                <w:color w:val="auto"/>
                <w:sz w:val="21"/>
                <w:highlight w:val="none"/>
              </w:rPr>
            </w:pPr>
          </w:p>
        </w:tc>
      </w:tr>
      <w:tr w14:paraId="55CD3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29B47BE">
            <w:pPr>
              <w:rPr>
                <w:rFonts w:ascii="Arial"/>
                <w:color w:val="auto"/>
                <w:sz w:val="21"/>
                <w:highlight w:val="none"/>
              </w:rPr>
            </w:pPr>
          </w:p>
        </w:tc>
        <w:tc>
          <w:tcPr>
            <w:tcW w:w="1524" w:type="dxa"/>
            <w:vAlign w:val="top"/>
          </w:tcPr>
          <w:p w14:paraId="1BF03213">
            <w:pPr>
              <w:rPr>
                <w:rFonts w:ascii="Arial"/>
                <w:color w:val="auto"/>
                <w:sz w:val="21"/>
                <w:highlight w:val="none"/>
              </w:rPr>
            </w:pPr>
          </w:p>
        </w:tc>
        <w:tc>
          <w:tcPr>
            <w:tcW w:w="2212" w:type="dxa"/>
            <w:vAlign w:val="top"/>
          </w:tcPr>
          <w:p w14:paraId="4222DB38">
            <w:pPr>
              <w:rPr>
                <w:rFonts w:ascii="Arial"/>
                <w:color w:val="auto"/>
                <w:sz w:val="21"/>
                <w:highlight w:val="none"/>
              </w:rPr>
            </w:pPr>
          </w:p>
        </w:tc>
        <w:tc>
          <w:tcPr>
            <w:tcW w:w="2610" w:type="dxa"/>
            <w:vAlign w:val="top"/>
          </w:tcPr>
          <w:p w14:paraId="6F3E7BC8">
            <w:pPr>
              <w:rPr>
                <w:rFonts w:ascii="Arial"/>
                <w:color w:val="auto"/>
                <w:sz w:val="21"/>
                <w:highlight w:val="none"/>
              </w:rPr>
            </w:pPr>
          </w:p>
        </w:tc>
        <w:tc>
          <w:tcPr>
            <w:tcW w:w="1804" w:type="dxa"/>
            <w:vAlign w:val="top"/>
          </w:tcPr>
          <w:p w14:paraId="05793AF5">
            <w:pPr>
              <w:rPr>
                <w:rFonts w:ascii="Arial"/>
                <w:color w:val="auto"/>
                <w:sz w:val="21"/>
                <w:highlight w:val="none"/>
              </w:rPr>
            </w:pPr>
          </w:p>
        </w:tc>
      </w:tr>
      <w:tr w14:paraId="5E3C7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32" w:type="dxa"/>
            <w:vAlign w:val="top"/>
          </w:tcPr>
          <w:p w14:paraId="1958880C">
            <w:pPr>
              <w:pStyle w:val="11"/>
              <w:spacing w:before="159" w:line="332" w:lineRule="exact"/>
              <w:ind w:left="328"/>
              <w:rPr>
                <w:color w:val="auto"/>
                <w:sz w:val="21"/>
                <w:szCs w:val="21"/>
                <w:highlight w:val="none"/>
              </w:rPr>
            </w:pPr>
            <w:r>
              <w:rPr>
                <w:b/>
                <w:bCs/>
                <w:color w:val="auto"/>
                <w:spacing w:val="-3"/>
                <w:position w:val="2"/>
                <w:sz w:val="21"/>
                <w:szCs w:val="21"/>
                <w:highlight w:val="none"/>
              </w:rPr>
              <w:t>…</w:t>
            </w:r>
          </w:p>
        </w:tc>
        <w:tc>
          <w:tcPr>
            <w:tcW w:w="1524" w:type="dxa"/>
            <w:vAlign w:val="top"/>
          </w:tcPr>
          <w:p w14:paraId="49F6794F">
            <w:pPr>
              <w:pStyle w:val="11"/>
              <w:spacing w:before="159" w:line="332" w:lineRule="exact"/>
              <w:ind w:left="566"/>
              <w:rPr>
                <w:color w:val="auto"/>
                <w:sz w:val="21"/>
                <w:szCs w:val="21"/>
                <w:highlight w:val="none"/>
              </w:rPr>
            </w:pPr>
            <w:r>
              <w:rPr>
                <w:b/>
                <w:bCs/>
                <w:color w:val="auto"/>
                <w:spacing w:val="-7"/>
                <w:position w:val="2"/>
                <w:sz w:val="21"/>
                <w:szCs w:val="21"/>
                <w:highlight w:val="none"/>
              </w:rPr>
              <w:t>……</w:t>
            </w:r>
          </w:p>
        </w:tc>
        <w:tc>
          <w:tcPr>
            <w:tcW w:w="2212" w:type="dxa"/>
            <w:vAlign w:val="top"/>
          </w:tcPr>
          <w:p w14:paraId="2CF68154">
            <w:pPr>
              <w:rPr>
                <w:rFonts w:ascii="Arial"/>
                <w:color w:val="auto"/>
                <w:sz w:val="21"/>
                <w:highlight w:val="none"/>
              </w:rPr>
            </w:pPr>
          </w:p>
        </w:tc>
        <w:tc>
          <w:tcPr>
            <w:tcW w:w="2610" w:type="dxa"/>
            <w:vAlign w:val="top"/>
          </w:tcPr>
          <w:p w14:paraId="3BBF4E71">
            <w:pPr>
              <w:rPr>
                <w:rFonts w:ascii="Arial"/>
                <w:color w:val="auto"/>
                <w:sz w:val="21"/>
                <w:highlight w:val="none"/>
              </w:rPr>
            </w:pPr>
          </w:p>
        </w:tc>
        <w:tc>
          <w:tcPr>
            <w:tcW w:w="1804" w:type="dxa"/>
            <w:vAlign w:val="top"/>
          </w:tcPr>
          <w:p w14:paraId="3E2F5F8E">
            <w:pPr>
              <w:rPr>
                <w:rFonts w:ascii="Arial"/>
                <w:color w:val="auto"/>
                <w:sz w:val="21"/>
                <w:highlight w:val="none"/>
              </w:rPr>
            </w:pPr>
          </w:p>
        </w:tc>
      </w:tr>
    </w:tbl>
    <w:p w14:paraId="0FF76B4F">
      <w:pPr>
        <w:pStyle w:val="2"/>
        <w:spacing w:line="244" w:lineRule="auto"/>
        <w:rPr>
          <w:color w:val="auto"/>
          <w:highlight w:val="none"/>
        </w:rPr>
      </w:pPr>
    </w:p>
    <w:p w14:paraId="097C07FC">
      <w:pPr>
        <w:pStyle w:val="2"/>
        <w:spacing w:line="244" w:lineRule="auto"/>
        <w:rPr>
          <w:color w:val="auto"/>
          <w:highlight w:val="none"/>
        </w:rPr>
      </w:pPr>
    </w:p>
    <w:p w14:paraId="1D5D5033">
      <w:pPr>
        <w:spacing w:before="91" w:line="219" w:lineRule="auto"/>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p>
    <w:p w14:paraId="7DD47CB2">
      <w:pPr>
        <w:spacing w:before="213" w:line="219" w:lineRule="auto"/>
        <w:ind w:left="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法定代表人或被授权人（签字或盖章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0323FE33">
      <w:pPr>
        <w:spacing w:before="212" w:line="220" w:lineRule="auto"/>
        <w:ind w:left="48"/>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rPr>
        <w:t>日期：</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120"/>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80"/>
          <w:sz w:val="28"/>
          <w:szCs w:val="28"/>
          <w:highlight w:val="none"/>
        </w:rPr>
        <w:t xml:space="preserve"> </w:t>
      </w:r>
      <w:r>
        <w:rPr>
          <w:rFonts w:ascii="宋体" w:hAnsi="宋体" w:eastAsia="宋体" w:cs="宋体"/>
          <w:color w:val="auto"/>
          <w:spacing w:val="-15"/>
          <w:sz w:val="28"/>
          <w:szCs w:val="28"/>
          <w:highlight w:val="none"/>
        </w:rPr>
        <w:t>日</w:t>
      </w:r>
    </w:p>
    <w:p w14:paraId="035A0B2D">
      <w:pPr>
        <w:spacing w:line="220" w:lineRule="auto"/>
        <w:rPr>
          <w:rFonts w:ascii="宋体" w:hAnsi="宋体" w:eastAsia="宋体" w:cs="宋体"/>
          <w:color w:val="auto"/>
          <w:sz w:val="28"/>
          <w:szCs w:val="28"/>
          <w:highlight w:val="none"/>
        </w:rPr>
        <w:sectPr>
          <w:footerReference r:id="rId16" w:type="default"/>
          <w:pgSz w:w="11907" w:h="16839"/>
          <w:pgMar w:top="1421" w:right="1219" w:bottom="1154" w:left="1597" w:header="0" w:footer="988" w:gutter="0"/>
          <w:pgNumType w:fmt="decimal"/>
          <w:cols w:space="720" w:num="1"/>
        </w:sectPr>
      </w:pPr>
    </w:p>
    <w:p w14:paraId="26C80837">
      <w:pPr>
        <w:spacing w:before="64" w:line="224" w:lineRule="auto"/>
        <w:ind w:left="212"/>
        <w:rPr>
          <w:rFonts w:hint="eastAsia" w:ascii="宋体" w:hAnsi="宋体" w:eastAsia="宋体" w:cs="宋体"/>
          <w:color w:val="auto"/>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55"/>
          <w:sz w:val="31"/>
          <w:szCs w:val="31"/>
          <w:highlight w:val="none"/>
          <w:lang w:val="en-US" w:eastAsia="zh-CN"/>
        </w:rPr>
        <w:t>6</w:t>
      </w:r>
    </w:p>
    <w:p w14:paraId="25055530">
      <w:pPr>
        <w:spacing w:before="162" w:line="224" w:lineRule="auto"/>
        <w:ind w:left="3994"/>
        <w:outlineLvl w:val="2"/>
        <w:rPr>
          <w:rFonts w:ascii="宋体" w:hAnsi="宋体" w:eastAsia="宋体" w:cs="宋体"/>
          <w:b/>
          <w:bCs/>
          <w:color w:val="auto"/>
          <w:spacing w:val="5"/>
          <w:sz w:val="31"/>
          <w:szCs w:val="31"/>
          <w:highlight w:val="none"/>
        </w:rPr>
      </w:pPr>
      <w:r>
        <w:rPr>
          <w:rFonts w:ascii="宋体" w:hAnsi="宋体" w:eastAsia="宋体" w:cs="宋体"/>
          <w:b/>
          <w:bCs/>
          <w:color w:val="auto"/>
          <w:spacing w:val="5"/>
          <w:sz w:val="31"/>
          <w:szCs w:val="31"/>
          <w:highlight w:val="none"/>
        </w:rPr>
        <w:t>报价表</w:t>
      </w:r>
    </w:p>
    <w:p w14:paraId="7A343C5E">
      <w:pPr>
        <w:pStyle w:val="2"/>
        <w:ind w:firstLine="280" w:firstLineChars="100"/>
        <w:rPr>
          <w:rFonts w:hint="eastAsia" w:eastAsia="宋体"/>
          <w:color w:val="auto"/>
          <w:sz w:val="28"/>
          <w:szCs w:val="28"/>
          <w:highlight w:val="none"/>
          <w:lang w:val="en-US" w:eastAsia="zh-CN"/>
        </w:rPr>
      </w:pPr>
    </w:p>
    <w:p w14:paraId="1E162D33">
      <w:pPr>
        <w:pStyle w:val="2"/>
        <w:rPr>
          <w:rFonts w:hint="eastAsia" w:eastAsia="宋体"/>
          <w:color w:val="auto"/>
          <w:sz w:val="28"/>
          <w:szCs w:val="28"/>
          <w:highlight w:val="none"/>
          <w:lang w:val="en-US" w:eastAsia="zh-CN"/>
        </w:rPr>
      </w:pPr>
      <w:r>
        <w:rPr>
          <w:rFonts w:hint="eastAsia" w:eastAsia="宋体"/>
          <w:color w:val="auto"/>
          <w:sz w:val="28"/>
          <w:szCs w:val="28"/>
          <w:highlight w:val="none"/>
          <w:lang w:val="en-US" w:eastAsia="zh-CN"/>
        </w:rPr>
        <w:t>项目名称：</w:t>
      </w:r>
      <w:r>
        <w:rPr>
          <w:rFonts w:hint="eastAsia" w:eastAsia="宋体"/>
          <w:color w:val="auto"/>
          <w:sz w:val="28"/>
          <w:szCs w:val="28"/>
          <w:highlight w:val="none"/>
          <w:lang w:eastAsia="zh-CN"/>
        </w:rPr>
        <w:t>启东市自来水厂有限公司消防栓2025-2026年度采购项目</w:t>
      </w:r>
    </w:p>
    <w:tbl>
      <w:tblPr>
        <w:tblStyle w:val="8"/>
        <w:tblW w:w="527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0"/>
        <w:gridCol w:w="1192"/>
        <w:gridCol w:w="2035"/>
        <w:gridCol w:w="768"/>
        <w:gridCol w:w="1012"/>
        <w:gridCol w:w="1418"/>
        <w:gridCol w:w="1544"/>
        <w:gridCol w:w="1022"/>
      </w:tblGrid>
      <w:tr w14:paraId="6160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820" w:type="dxa"/>
            <w:tcBorders>
              <w:top w:val="single" w:color="000000" w:sz="4" w:space="0"/>
              <w:left w:val="single" w:color="000000" w:sz="4" w:space="0"/>
              <w:bottom w:val="single" w:color="000000" w:sz="4" w:space="0"/>
              <w:right w:val="single" w:color="000000" w:sz="4" w:space="0"/>
            </w:tcBorders>
            <w:noWrap/>
            <w:vAlign w:val="center"/>
          </w:tcPr>
          <w:p w14:paraId="670A26B3">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序号</w:t>
            </w:r>
          </w:p>
        </w:tc>
        <w:tc>
          <w:tcPr>
            <w:tcW w:w="1192" w:type="dxa"/>
            <w:tcBorders>
              <w:top w:val="single" w:color="000000" w:sz="4" w:space="0"/>
              <w:left w:val="nil"/>
              <w:bottom w:val="single" w:color="000000" w:sz="4" w:space="0"/>
              <w:right w:val="single" w:color="000000" w:sz="4" w:space="0"/>
            </w:tcBorders>
            <w:noWrap w:val="0"/>
            <w:vAlign w:val="center"/>
          </w:tcPr>
          <w:p w14:paraId="7CFBACEB">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材料</w:t>
            </w:r>
          </w:p>
          <w:p w14:paraId="7E8F5CB6">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名称</w:t>
            </w:r>
          </w:p>
        </w:tc>
        <w:tc>
          <w:tcPr>
            <w:tcW w:w="2035" w:type="dxa"/>
            <w:tcBorders>
              <w:top w:val="single" w:color="000000" w:sz="4" w:space="0"/>
              <w:left w:val="nil"/>
              <w:bottom w:val="single" w:color="000000" w:sz="4" w:space="0"/>
              <w:right w:val="single" w:color="000000" w:sz="4" w:space="0"/>
            </w:tcBorders>
            <w:noWrap w:val="0"/>
            <w:vAlign w:val="center"/>
          </w:tcPr>
          <w:p w14:paraId="34844193">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规格/型号</w:t>
            </w:r>
          </w:p>
        </w:tc>
        <w:tc>
          <w:tcPr>
            <w:tcW w:w="768" w:type="dxa"/>
            <w:tcBorders>
              <w:top w:val="single" w:color="000000" w:sz="4" w:space="0"/>
              <w:left w:val="nil"/>
              <w:bottom w:val="single" w:color="000000" w:sz="4" w:space="0"/>
              <w:right w:val="single" w:color="000000" w:sz="4" w:space="0"/>
            </w:tcBorders>
            <w:noWrap w:val="0"/>
            <w:vAlign w:val="center"/>
          </w:tcPr>
          <w:p w14:paraId="4544154F">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单位</w:t>
            </w:r>
          </w:p>
        </w:tc>
        <w:tc>
          <w:tcPr>
            <w:tcW w:w="1012" w:type="dxa"/>
            <w:tcBorders>
              <w:top w:val="single" w:color="000000" w:sz="4" w:space="0"/>
              <w:left w:val="nil"/>
              <w:bottom w:val="single" w:color="000000" w:sz="4" w:space="0"/>
              <w:right w:val="single" w:color="000000" w:sz="4" w:space="0"/>
            </w:tcBorders>
            <w:noWrap w:val="0"/>
            <w:vAlign w:val="center"/>
          </w:tcPr>
          <w:p w14:paraId="162155C8">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预估</w:t>
            </w:r>
          </w:p>
          <w:p w14:paraId="732A3CAE">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数量</w:t>
            </w:r>
          </w:p>
        </w:tc>
        <w:tc>
          <w:tcPr>
            <w:tcW w:w="1418" w:type="dxa"/>
            <w:tcBorders>
              <w:top w:val="single" w:color="000000" w:sz="4" w:space="0"/>
              <w:left w:val="nil"/>
              <w:bottom w:val="single" w:color="000000" w:sz="4" w:space="0"/>
              <w:right w:val="single" w:color="000000" w:sz="4" w:space="0"/>
            </w:tcBorders>
            <w:noWrap w:val="0"/>
            <w:vAlign w:val="center"/>
          </w:tcPr>
          <w:p w14:paraId="2CD23A3E">
            <w:pPr>
              <w:keepNext w:val="0"/>
              <w:keepLines w:val="0"/>
              <w:widowControl w:val="0"/>
              <w:suppressLineNumbers w:val="0"/>
              <w:autoSpaceDE w:val="0"/>
              <w:autoSpaceDN/>
              <w:spacing w:before="0" w:beforeAutospacing="0" w:after="0" w:afterAutospacing="0"/>
              <w:ind w:left="0" w:right="0" w:firstLine="0" w:firstLineChars="0"/>
              <w:jc w:val="center"/>
              <w:rPr>
                <w:rFonts w:hint="default"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投标品牌</w:t>
            </w:r>
          </w:p>
        </w:tc>
        <w:tc>
          <w:tcPr>
            <w:tcW w:w="1544" w:type="dxa"/>
            <w:tcBorders>
              <w:top w:val="single" w:color="000000" w:sz="4" w:space="0"/>
              <w:left w:val="nil"/>
              <w:bottom w:val="single" w:color="000000" w:sz="4" w:space="0"/>
              <w:right w:val="single" w:color="000000" w:sz="4" w:space="0"/>
            </w:tcBorders>
            <w:noWrap w:val="0"/>
            <w:vAlign w:val="center"/>
          </w:tcPr>
          <w:p w14:paraId="50188A39">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分项综合单价（元）</w:t>
            </w:r>
          </w:p>
        </w:tc>
        <w:tc>
          <w:tcPr>
            <w:tcW w:w="1022" w:type="dxa"/>
            <w:tcBorders>
              <w:top w:val="single" w:color="000000" w:sz="4" w:space="0"/>
              <w:left w:val="nil"/>
              <w:bottom w:val="single" w:color="000000" w:sz="4" w:space="0"/>
              <w:right w:val="single" w:color="000000" w:sz="4" w:space="0"/>
            </w:tcBorders>
            <w:noWrap w:val="0"/>
            <w:vAlign w:val="center"/>
          </w:tcPr>
          <w:p w14:paraId="0600B472">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合计</w:t>
            </w:r>
          </w:p>
          <w:p w14:paraId="7FA506FF">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（元）</w:t>
            </w:r>
          </w:p>
        </w:tc>
      </w:tr>
      <w:tr w14:paraId="3A79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20" w:type="dxa"/>
            <w:tcBorders>
              <w:top w:val="single" w:color="000000" w:sz="4" w:space="0"/>
              <w:left w:val="single" w:color="000000" w:sz="4" w:space="0"/>
              <w:bottom w:val="single" w:color="000000" w:sz="4" w:space="0"/>
              <w:right w:val="single" w:color="000000" w:sz="4" w:space="0"/>
            </w:tcBorders>
            <w:noWrap/>
            <w:vAlign w:val="center"/>
          </w:tcPr>
          <w:p w14:paraId="23F20872">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1192" w:type="dxa"/>
            <w:tcBorders>
              <w:top w:val="single" w:color="000000" w:sz="4" w:space="0"/>
              <w:left w:val="nil"/>
              <w:bottom w:val="single" w:color="000000" w:sz="4" w:space="0"/>
              <w:right w:val="single" w:color="000000" w:sz="4" w:space="0"/>
            </w:tcBorders>
            <w:noWrap w:val="0"/>
            <w:vAlign w:val="center"/>
          </w:tcPr>
          <w:p w14:paraId="2936C982">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消防栓</w:t>
            </w:r>
          </w:p>
        </w:tc>
        <w:tc>
          <w:tcPr>
            <w:tcW w:w="2035" w:type="dxa"/>
            <w:tcBorders>
              <w:top w:val="single" w:color="000000" w:sz="4" w:space="0"/>
              <w:left w:val="nil"/>
              <w:bottom w:val="single" w:color="000000" w:sz="4" w:space="0"/>
              <w:right w:val="single" w:color="000000" w:sz="4" w:space="0"/>
            </w:tcBorders>
            <w:noWrap/>
            <w:vAlign w:val="center"/>
          </w:tcPr>
          <w:p w14:paraId="0B47EF22">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DN100*1.6MPa</w:t>
            </w:r>
          </w:p>
        </w:tc>
        <w:tc>
          <w:tcPr>
            <w:tcW w:w="768" w:type="dxa"/>
            <w:tcBorders>
              <w:top w:val="single" w:color="000000" w:sz="4" w:space="0"/>
              <w:left w:val="nil"/>
              <w:bottom w:val="single" w:color="000000" w:sz="4" w:space="0"/>
              <w:right w:val="single" w:color="000000" w:sz="4" w:space="0"/>
            </w:tcBorders>
            <w:noWrap/>
            <w:vAlign w:val="center"/>
          </w:tcPr>
          <w:p w14:paraId="1264951F">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套</w:t>
            </w:r>
          </w:p>
        </w:tc>
        <w:tc>
          <w:tcPr>
            <w:tcW w:w="1012" w:type="dxa"/>
            <w:tcBorders>
              <w:top w:val="single" w:color="000000" w:sz="4" w:space="0"/>
              <w:left w:val="nil"/>
              <w:bottom w:val="single" w:color="000000" w:sz="4" w:space="0"/>
              <w:right w:val="single" w:color="000000" w:sz="4" w:space="0"/>
            </w:tcBorders>
            <w:noWrap/>
            <w:vAlign w:val="center"/>
          </w:tcPr>
          <w:p w14:paraId="60C92441">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500</w:t>
            </w:r>
          </w:p>
        </w:tc>
        <w:tc>
          <w:tcPr>
            <w:tcW w:w="1418" w:type="dxa"/>
            <w:tcBorders>
              <w:top w:val="single" w:color="000000" w:sz="4" w:space="0"/>
              <w:left w:val="nil"/>
              <w:bottom w:val="single" w:color="000000" w:sz="4" w:space="0"/>
              <w:right w:val="single" w:color="000000" w:sz="4" w:space="0"/>
            </w:tcBorders>
            <w:noWrap w:val="0"/>
            <w:vAlign w:val="center"/>
          </w:tcPr>
          <w:p w14:paraId="7947F669">
            <w:pPr>
              <w:keepNext w:val="0"/>
              <w:keepLines w:val="0"/>
              <w:widowControl w:val="0"/>
              <w:suppressLineNumbers w:val="0"/>
              <w:autoSpaceDE w:val="0"/>
              <w:autoSpaceDN/>
              <w:spacing w:before="0" w:beforeAutospacing="0" w:after="0" w:afterAutospacing="0"/>
              <w:ind w:left="0" w:right="0" w:firstLine="0" w:firstLineChars="0"/>
              <w:jc w:val="both"/>
              <w:rPr>
                <w:rFonts w:hint="eastAsia" w:ascii="宋体" w:hAnsi="宋体" w:eastAsia="宋体" w:cs="宋体"/>
                <w:color w:val="auto"/>
                <w:kern w:val="2"/>
                <w:sz w:val="24"/>
                <w:szCs w:val="24"/>
                <w:highlight w:val="none"/>
              </w:rPr>
            </w:pPr>
          </w:p>
        </w:tc>
        <w:tc>
          <w:tcPr>
            <w:tcW w:w="1544" w:type="dxa"/>
            <w:tcBorders>
              <w:top w:val="single" w:color="000000" w:sz="4" w:space="0"/>
              <w:left w:val="nil"/>
              <w:bottom w:val="single" w:color="000000" w:sz="4" w:space="0"/>
              <w:right w:val="single" w:color="000000" w:sz="4" w:space="0"/>
            </w:tcBorders>
            <w:noWrap w:val="0"/>
            <w:vAlign w:val="center"/>
          </w:tcPr>
          <w:p w14:paraId="3BF48ECF">
            <w:pPr>
              <w:keepNext w:val="0"/>
              <w:keepLines w:val="0"/>
              <w:widowControl w:val="0"/>
              <w:suppressLineNumbers w:val="0"/>
              <w:autoSpaceDE w:val="0"/>
              <w:autoSpaceDN/>
              <w:spacing w:before="0" w:beforeAutospacing="0" w:after="0" w:afterAutospacing="0"/>
              <w:ind w:left="0" w:right="0" w:firstLine="0" w:firstLineChars="0"/>
              <w:jc w:val="both"/>
              <w:rPr>
                <w:rFonts w:hint="eastAsia" w:ascii="宋体" w:hAnsi="宋体" w:eastAsia="宋体" w:cs="宋体"/>
                <w:color w:val="auto"/>
                <w:kern w:val="2"/>
                <w:sz w:val="24"/>
                <w:szCs w:val="24"/>
                <w:highlight w:val="none"/>
              </w:rPr>
            </w:pPr>
          </w:p>
        </w:tc>
        <w:tc>
          <w:tcPr>
            <w:tcW w:w="1022" w:type="dxa"/>
            <w:tcBorders>
              <w:top w:val="single" w:color="000000" w:sz="4" w:space="0"/>
              <w:left w:val="nil"/>
              <w:bottom w:val="single" w:color="000000" w:sz="4" w:space="0"/>
              <w:right w:val="single" w:color="000000" w:sz="4" w:space="0"/>
            </w:tcBorders>
            <w:noWrap/>
            <w:vAlign w:val="center"/>
          </w:tcPr>
          <w:p w14:paraId="489A4B0F">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9BB6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820" w:type="dxa"/>
            <w:tcBorders>
              <w:top w:val="single" w:color="000000" w:sz="4" w:space="0"/>
              <w:left w:val="single" w:color="000000" w:sz="4" w:space="0"/>
              <w:bottom w:val="single" w:color="000000" w:sz="4" w:space="0"/>
              <w:right w:val="single" w:color="000000" w:sz="4" w:space="0"/>
            </w:tcBorders>
            <w:noWrap/>
            <w:vAlign w:val="center"/>
          </w:tcPr>
          <w:p w14:paraId="2ED1B641">
            <w:pPr>
              <w:keepNext w:val="0"/>
              <w:keepLines w:val="0"/>
              <w:widowControl w:val="0"/>
              <w:suppressLineNumbers w:val="0"/>
              <w:autoSpaceDE w:val="0"/>
              <w:autoSpaceDN/>
              <w:spacing w:before="0" w:beforeAutospacing="0" w:after="0" w:afterAutospacing="0"/>
              <w:ind w:left="0" w:right="0" w:firstLine="0" w:firstLineChars="0"/>
              <w:jc w:val="center"/>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w:t>
            </w:r>
          </w:p>
        </w:tc>
        <w:tc>
          <w:tcPr>
            <w:tcW w:w="1192" w:type="dxa"/>
            <w:tcBorders>
              <w:top w:val="single" w:color="000000" w:sz="4" w:space="0"/>
              <w:left w:val="nil"/>
              <w:bottom w:val="single" w:color="000000" w:sz="4" w:space="0"/>
              <w:right w:val="single" w:color="000000" w:sz="4" w:space="0"/>
            </w:tcBorders>
            <w:noWrap w:val="0"/>
            <w:vAlign w:val="center"/>
          </w:tcPr>
          <w:p w14:paraId="28CED5CE">
            <w:pPr>
              <w:keepNext w:val="0"/>
              <w:keepLines w:val="0"/>
              <w:widowControl w:val="0"/>
              <w:suppressLineNumbers w:val="0"/>
              <w:autoSpaceDE w:val="0"/>
              <w:autoSpaceDN/>
              <w:spacing w:before="0" w:beforeAutospacing="0" w:after="0" w:afterAutospacing="0"/>
              <w:ind w:left="0" w:right="0" w:firstLine="0" w:firstLineChars="0"/>
              <w:jc w:val="center"/>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总价</w:t>
            </w:r>
          </w:p>
        </w:tc>
        <w:tc>
          <w:tcPr>
            <w:tcW w:w="7799" w:type="dxa"/>
            <w:gridSpan w:val="6"/>
            <w:tcBorders>
              <w:top w:val="single" w:color="000000" w:sz="4" w:space="0"/>
              <w:left w:val="nil"/>
              <w:bottom w:val="single" w:color="000000" w:sz="4" w:space="0"/>
              <w:right w:val="single" w:color="000000" w:sz="4" w:space="0"/>
            </w:tcBorders>
            <w:noWrap/>
            <w:vAlign w:val="center"/>
          </w:tcPr>
          <w:p w14:paraId="46A6C635">
            <w:pPr>
              <w:keepNext w:val="0"/>
              <w:keepLines w:val="0"/>
              <w:widowControl w:val="0"/>
              <w:suppressLineNumbers w:val="0"/>
              <w:autoSpaceDE w:val="0"/>
              <w:autoSpaceDN/>
              <w:spacing w:before="0" w:beforeAutospacing="0" w:after="0" w:afterAutospacing="0"/>
              <w:ind w:left="0" w:right="0" w:firstLine="240" w:firstLineChars="1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highlight w:val="none"/>
                <w:lang w:val="en-US" w:eastAsia="zh-CN"/>
              </w:rPr>
              <w:t>人民币大写：            元。</w:t>
            </w:r>
          </w:p>
        </w:tc>
      </w:tr>
      <w:tr w14:paraId="5E85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jc w:val="center"/>
        </w:trPr>
        <w:tc>
          <w:tcPr>
            <w:tcW w:w="9811" w:type="dxa"/>
            <w:gridSpan w:val="8"/>
            <w:tcBorders>
              <w:top w:val="single" w:color="000000" w:sz="4" w:space="0"/>
              <w:left w:val="single" w:color="000000" w:sz="4" w:space="0"/>
              <w:bottom w:val="single" w:color="000000" w:sz="4" w:space="0"/>
              <w:right w:val="single" w:color="auto" w:sz="4" w:space="0"/>
            </w:tcBorders>
            <w:noWrap/>
            <w:vAlign w:val="center"/>
          </w:tcPr>
          <w:p w14:paraId="164C57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备注：</w:t>
            </w:r>
          </w:p>
          <w:p w14:paraId="36B6EB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1、报价含13%增值税、含运费、含卸货费等全部费用。</w:t>
            </w:r>
          </w:p>
          <w:p w14:paraId="78A9D6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7F8CC0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3、各投标人每项的分项综合单价报价与分项最高限价相比的下浮率必须一致，否则，作无效标处理。</w:t>
            </w:r>
          </w:p>
        </w:tc>
      </w:tr>
    </w:tbl>
    <w:p w14:paraId="5AD4DBDD">
      <w:pPr>
        <w:spacing w:before="162" w:line="224" w:lineRule="auto"/>
        <w:ind w:left="3994"/>
        <w:outlineLvl w:val="2"/>
        <w:rPr>
          <w:rFonts w:ascii="宋体" w:hAnsi="宋体" w:eastAsia="宋体" w:cs="宋体"/>
          <w:b/>
          <w:bCs/>
          <w:color w:val="auto"/>
          <w:spacing w:val="5"/>
          <w:sz w:val="31"/>
          <w:szCs w:val="31"/>
          <w:highlight w:val="none"/>
        </w:rPr>
      </w:pPr>
    </w:p>
    <w:p w14:paraId="1BB64175">
      <w:pPr>
        <w:pStyle w:val="2"/>
        <w:rPr>
          <w:rFonts w:ascii="宋体" w:hAnsi="宋体" w:eastAsia="宋体" w:cs="宋体"/>
          <w:b/>
          <w:bCs/>
          <w:color w:val="auto"/>
          <w:spacing w:val="5"/>
          <w:sz w:val="31"/>
          <w:szCs w:val="31"/>
          <w:highlight w:val="none"/>
        </w:rPr>
      </w:pPr>
    </w:p>
    <w:p w14:paraId="54094CA3">
      <w:pPr>
        <w:rPr>
          <w:color w:val="auto"/>
          <w:highlight w:val="none"/>
        </w:rPr>
      </w:pPr>
    </w:p>
    <w:p w14:paraId="71B2A8CC">
      <w:pPr>
        <w:pStyle w:val="2"/>
        <w:rPr>
          <w:rFonts w:ascii="宋体" w:hAnsi="宋体" w:eastAsia="宋体" w:cs="宋体"/>
          <w:b/>
          <w:bCs/>
          <w:color w:val="auto"/>
          <w:spacing w:val="5"/>
          <w:sz w:val="31"/>
          <w:szCs w:val="31"/>
          <w:highlight w:val="none"/>
        </w:rPr>
      </w:pPr>
    </w:p>
    <w:p w14:paraId="4A7BC224">
      <w:pPr>
        <w:pStyle w:val="2"/>
        <w:spacing w:line="260" w:lineRule="auto"/>
        <w:rPr>
          <w:color w:val="auto"/>
          <w:highlight w:val="none"/>
        </w:rPr>
      </w:pPr>
    </w:p>
    <w:p w14:paraId="6321F76F">
      <w:pPr>
        <w:adjustRightInd w:val="0"/>
        <w:spacing w:line="360" w:lineRule="auto"/>
        <w:jc w:val="left"/>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响应供应商全称（盖公章）：</w:t>
      </w:r>
    </w:p>
    <w:p w14:paraId="61F65511">
      <w:pPr>
        <w:adjustRightInd w:val="0"/>
        <w:spacing w:line="360" w:lineRule="auto"/>
        <w:jc w:val="left"/>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法定代表人（签字或盖章）： </w:t>
      </w:r>
    </w:p>
    <w:p w14:paraId="70244D31">
      <w:pPr>
        <w:wordWrap/>
        <w:adjustRightInd w:val="0"/>
        <w:spacing w:line="360" w:lineRule="auto"/>
        <w:jc w:val="left"/>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日期：  年  月  日</w:t>
      </w:r>
    </w:p>
    <w:p w14:paraId="16D98A1D">
      <w:pPr>
        <w:spacing w:before="92" w:line="220" w:lineRule="auto"/>
        <w:ind w:left="234"/>
        <w:rPr>
          <w:rFonts w:ascii="宋体" w:hAnsi="宋体" w:eastAsia="宋体" w:cs="宋体"/>
          <w:color w:val="auto"/>
          <w:sz w:val="28"/>
          <w:szCs w:val="28"/>
          <w:highlight w:val="none"/>
        </w:rPr>
      </w:pPr>
    </w:p>
    <w:p w14:paraId="19F97ED8">
      <w:pPr>
        <w:spacing w:line="220" w:lineRule="auto"/>
        <w:rPr>
          <w:rFonts w:ascii="宋体" w:hAnsi="宋体" w:eastAsia="宋体" w:cs="宋体"/>
          <w:color w:val="auto"/>
          <w:sz w:val="28"/>
          <w:szCs w:val="28"/>
          <w:highlight w:val="none"/>
        </w:rPr>
        <w:sectPr>
          <w:footerReference r:id="rId17" w:type="default"/>
          <w:pgSz w:w="11907" w:h="16839"/>
          <w:pgMar w:top="1423" w:right="1411" w:bottom="1154" w:left="1411" w:header="0" w:footer="988" w:gutter="0"/>
          <w:pgNumType w:fmt="decimal"/>
          <w:cols w:space="720" w:num="1"/>
        </w:sectPr>
      </w:pPr>
    </w:p>
    <w:p w14:paraId="75EF2FD7">
      <w:pPr>
        <w:spacing w:before="64" w:line="224" w:lineRule="auto"/>
        <w:rPr>
          <w:rFonts w:hint="default" w:ascii="宋体" w:hAnsi="宋体" w:eastAsia="宋体" w:cs="宋体"/>
          <w:color w:val="auto"/>
          <w:sz w:val="31"/>
          <w:szCs w:val="31"/>
          <w:highlight w:val="none"/>
          <w:lang w:val="en-US" w:eastAsia="zh-CN"/>
        </w:rPr>
      </w:pPr>
      <w:r>
        <w:rPr>
          <w:rFonts w:ascii="宋体" w:hAnsi="宋体" w:eastAsia="宋体" w:cs="宋体"/>
          <w:color w:val="auto"/>
          <w:spacing w:val="-7"/>
          <w:sz w:val="31"/>
          <w:szCs w:val="31"/>
          <w:highlight w:val="none"/>
        </w:rPr>
        <w:t>附件</w:t>
      </w:r>
      <w:r>
        <w:rPr>
          <w:rFonts w:ascii="宋体" w:hAnsi="宋体" w:eastAsia="宋体" w:cs="宋体"/>
          <w:color w:val="auto"/>
          <w:spacing w:val="-62"/>
          <w:sz w:val="31"/>
          <w:szCs w:val="31"/>
          <w:highlight w:val="none"/>
        </w:rPr>
        <w:t xml:space="preserve"> </w:t>
      </w:r>
      <w:r>
        <w:rPr>
          <w:rFonts w:hint="eastAsia" w:ascii="宋体" w:hAnsi="宋体" w:eastAsia="宋体" w:cs="宋体"/>
          <w:color w:val="auto"/>
          <w:spacing w:val="-7"/>
          <w:sz w:val="31"/>
          <w:szCs w:val="31"/>
          <w:highlight w:val="none"/>
          <w:lang w:val="en-US" w:eastAsia="zh-CN"/>
        </w:rPr>
        <w:t>7</w:t>
      </w:r>
    </w:p>
    <w:p w14:paraId="36323C51">
      <w:pPr>
        <w:spacing w:before="64" w:line="224" w:lineRule="auto"/>
        <w:rPr>
          <w:rFonts w:ascii="宋体" w:hAnsi="宋体" w:eastAsia="宋体" w:cs="宋体"/>
          <w:color w:val="auto"/>
          <w:spacing w:val="-7"/>
          <w:sz w:val="31"/>
          <w:szCs w:val="31"/>
          <w:highlight w:val="none"/>
        </w:rPr>
      </w:pPr>
    </w:p>
    <w:p w14:paraId="07D223E7">
      <w:pPr>
        <w:snapToGrid w:val="0"/>
        <w:spacing w:line="300" w:lineRule="auto"/>
        <w:jc w:val="center"/>
        <w:outlineLvl w:val="0"/>
        <w:rPr>
          <w:rFonts w:ascii="Times New Roman" w:hAnsi="Times New Roman"/>
          <w:b/>
          <w:bCs/>
          <w:color w:val="auto"/>
          <w:sz w:val="28"/>
          <w:szCs w:val="28"/>
          <w:highlight w:val="none"/>
          <w:lang w:bidi="zh-CN"/>
        </w:rPr>
      </w:pPr>
      <w:r>
        <w:rPr>
          <w:rFonts w:ascii="Times New Roman" w:hAnsi="Times New Roman"/>
          <w:b/>
          <w:bCs/>
          <w:color w:val="auto"/>
          <w:sz w:val="28"/>
          <w:szCs w:val="28"/>
          <w:highlight w:val="none"/>
          <w:lang w:bidi="zh-CN"/>
        </w:rPr>
        <w:t>中小企业声明函（货物）</w:t>
      </w:r>
    </w:p>
    <w:p w14:paraId="23B80C84">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本公司（联合体）郑重声明，根据《政府采购促进中小企业发展管理办法》（财库</w:t>
      </w:r>
      <w:r>
        <w:rPr>
          <w:rFonts w:hint="eastAsia" w:ascii="宋体" w:hAnsi="宋体"/>
          <w:color w:val="auto"/>
          <w:sz w:val="28"/>
          <w:szCs w:val="28"/>
          <w:highlight w:val="none"/>
        </w:rPr>
        <w:t>〔</w:t>
      </w:r>
      <w:r>
        <w:rPr>
          <w:rFonts w:ascii="Times New Roman" w:hAnsi="Times New Roman"/>
          <w:color w:val="auto"/>
          <w:sz w:val="28"/>
          <w:szCs w:val="28"/>
          <w:highlight w:val="none"/>
          <w:lang w:bidi="zh-CN"/>
        </w:rPr>
        <w:t>2020</w:t>
      </w:r>
      <w:r>
        <w:rPr>
          <w:rFonts w:hint="eastAsia" w:ascii="宋体" w:hAnsi="宋体"/>
          <w:color w:val="auto"/>
          <w:sz w:val="28"/>
          <w:szCs w:val="28"/>
          <w:highlight w:val="none"/>
        </w:rPr>
        <w:t>〕</w:t>
      </w:r>
      <w:r>
        <w:rPr>
          <w:rFonts w:ascii="Times New Roman" w:hAnsi="Times New Roman"/>
          <w:color w:val="auto"/>
          <w:sz w:val="28"/>
          <w:szCs w:val="28"/>
          <w:highlight w:val="none"/>
          <w:lang w:bidi="zh-CN"/>
        </w:rPr>
        <w:t>46号）的规定，本公司（联合体）参加</w:t>
      </w:r>
      <w:r>
        <w:rPr>
          <w:rFonts w:ascii="Times New Roman" w:hAnsi="Times New Roman"/>
          <w:color w:val="auto"/>
          <w:sz w:val="28"/>
          <w:szCs w:val="28"/>
          <w:highlight w:val="none"/>
          <w:u w:val="single"/>
          <w:lang w:bidi="zh-CN"/>
        </w:rPr>
        <w:t>（单位名称）</w:t>
      </w:r>
      <w:r>
        <w:rPr>
          <w:rFonts w:ascii="Times New Roman" w:hAnsi="Times New Roman"/>
          <w:color w:val="auto"/>
          <w:sz w:val="28"/>
          <w:szCs w:val="28"/>
          <w:highlight w:val="none"/>
          <w:lang w:bidi="zh-CN"/>
        </w:rPr>
        <w:t>的</w:t>
      </w:r>
      <w:r>
        <w:rPr>
          <w:rFonts w:ascii="Times New Roman" w:hAnsi="Times New Roman"/>
          <w:color w:val="auto"/>
          <w:sz w:val="28"/>
          <w:szCs w:val="28"/>
          <w:highlight w:val="none"/>
          <w:u w:val="single"/>
          <w:lang w:bidi="zh-CN"/>
        </w:rPr>
        <w:t>（项目名称）</w:t>
      </w:r>
      <w:r>
        <w:rPr>
          <w:rFonts w:ascii="Times New Roman" w:hAnsi="Times New Roman"/>
          <w:color w:val="auto"/>
          <w:sz w:val="28"/>
          <w:szCs w:val="28"/>
          <w:highlight w:val="none"/>
          <w:lang w:bidi="zh-CN"/>
        </w:rPr>
        <w:t>采购活动，提供的货物全部由符合政策要求的中小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企业制造。相关企业（含联合体中的中小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企业、签订分包意向协议的中小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企业）的具体情况如下：</w:t>
      </w:r>
    </w:p>
    <w:p w14:paraId="66C4F540">
      <w:pPr>
        <w:snapToGrid w:val="0"/>
        <w:spacing w:line="360" w:lineRule="auto"/>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1.</w:t>
      </w:r>
      <w:r>
        <w:rPr>
          <w:rFonts w:ascii="Times New Roman" w:hAnsi="Times New Roman"/>
          <w:color w:val="auto"/>
          <w:sz w:val="28"/>
          <w:szCs w:val="28"/>
          <w:highlight w:val="none"/>
          <w:u w:val="single"/>
          <w:lang w:bidi="zh-CN"/>
        </w:rPr>
        <w:t>（标的名称）</w:t>
      </w:r>
      <w:r>
        <w:rPr>
          <w:rFonts w:ascii="Times New Roman" w:hAnsi="Times New Roman"/>
          <w:color w:val="auto"/>
          <w:sz w:val="28"/>
          <w:szCs w:val="28"/>
          <w:highlight w:val="none"/>
          <w:lang w:bidi="zh-CN"/>
        </w:rPr>
        <w:t>，属于</w:t>
      </w:r>
      <w:r>
        <w:rPr>
          <w:rFonts w:ascii="Times New Roman" w:hAnsi="Times New Roman"/>
          <w:color w:val="auto"/>
          <w:sz w:val="28"/>
          <w:szCs w:val="28"/>
          <w:highlight w:val="none"/>
          <w:u w:val="single"/>
          <w:lang w:bidi="zh-CN"/>
        </w:rPr>
        <w:t>（采购文件中明确的所属行业）</w:t>
      </w:r>
      <w:r>
        <w:rPr>
          <w:rFonts w:ascii="Times New Roman" w:hAnsi="Times New Roman"/>
          <w:color w:val="auto"/>
          <w:sz w:val="28"/>
          <w:szCs w:val="28"/>
          <w:highlight w:val="none"/>
          <w:lang w:bidi="zh-CN"/>
        </w:rPr>
        <w:t>行业；制造商为</w:t>
      </w:r>
      <w:r>
        <w:rPr>
          <w:rFonts w:ascii="Times New Roman" w:hAnsi="Times New Roman"/>
          <w:color w:val="auto"/>
          <w:sz w:val="28"/>
          <w:szCs w:val="28"/>
          <w:highlight w:val="none"/>
          <w:u w:val="single"/>
          <w:lang w:bidi="zh-CN"/>
        </w:rPr>
        <w:t>（企业名称）</w:t>
      </w:r>
      <w:r>
        <w:rPr>
          <w:rFonts w:ascii="Times New Roman" w:hAnsi="Times New Roman"/>
          <w:color w:val="auto"/>
          <w:sz w:val="28"/>
          <w:szCs w:val="28"/>
          <w:highlight w:val="none"/>
          <w:lang w:bidi="zh-CN"/>
        </w:rPr>
        <w:t>，从业人员</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人，营业收入为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万元，资产总额为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万元，属于</w:t>
      </w:r>
      <w:r>
        <w:rPr>
          <w:rFonts w:ascii="Times New Roman" w:hAnsi="Times New Roman"/>
          <w:color w:val="auto"/>
          <w:sz w:val="28"/>
          <w:szCs w:val="28"/>
          <w:highlight w:val="none"/>
          <w:u w:val="single"/>
          <w:lang w:bidi="zh-CN"/>
        </w:rPr>
        <w:t>（中型企业、小型企业、微型企业）</w:t>
      </w:r>
      <w:r>
        <w:rPr>
          <w:rFonts w:ascii="Times New Roman" w:hAnsi="Times New Roman"/>
          <w:color w:val="auto"/>
          <w:sz w:val="28"/>
          <w:szCs w:val="28"/>
          <w:highlight w:val="none"/>
          <w:lang w:bidi="zh-CN"/>
        </w:rPr>
        <w:t>；</w:t>
      </w:r>
    </w:p>
    <w:p w14:paraId="2D01752A">
      <w:pPr>
        <w:snapToGrid w:val="0"/>
        <w:spacing w:line="360" w:lineRule="auto"/>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2.</w:t>
      </w:r>
      <w:r>
        <w:rPr>
          <w:rFonts w:ascii="Times New Roman" w:hAnsi="Times New Roman"/>
          <w:color w:val="auto"/>
          <w:sz w:val="28"/>
          <w:szCs w:val="28"/>
          <w:highlight w:val="none"/>
          <w:u w:val="single"/>
          <w:lang w:bidi="zh-CN"/>
        </w:rPr>
        <w:t>（标的名称）</w:t>
      </w:r>
      <w:r>
        <w:rPr>
          <w:rFonts w:ascii="Times New Roman" w:hAnsi="Times New Roman"/>
          <w:color w:val="auto"/>
          <w:sz w:val="28"/>
          <w:szCs w:val="28"/>
          <w:highlight w:val="none"/>
          <w:lang w:bidi="zh-CN"/>
        </w:rPr>
        <w:t>，属于</w:t>
      </w:r>
      <w:r>
        <w:rPr>
          <w:rFonts w:ascii="Times New Roman" w:hAnsi="Times New Roman"/>
          <w:color w:val="auto"/>
          <w:sz w:val="28"/>
          <w:szCs w:val="28"/>
          <w:highlight w:val="none"/>
          <w:u w:val="single"/>
          <w:lang w:bidi="zh-CN"/>
        </w:rPr>
        <w:t>（采购文件中明确的所属行业）</w:t>
      </w:r>
      <w:r>
        <w:rPr>
          <w:rFonts w:ascii="Times New Roman" w:hAnsi="Times New Roman"/>
          <w:color w:val="auto"/>
          <w:sz w:val="28"/>
          <w:szCs w:val="28"/>
          <w:highlight w:val="none"/>
          <w:lang w:bidi="zh-CN"/>
        </w:rPr>
        <w:t>行业；制造商为</w:t>
      </w:r>
      <w:r>
        <w:rPr>
          <w:rFonts w:ascii="Times New Roman" w:hAnsi="Times New Roman"/>
          <w:color w:val="auto"/>
          <w:sz w:val="28"/>
          <w:szCs w:val="28"/>
          <w:highlight w:val="none"/>
          <w:u w:val="single"/>
          <w:lang w:bidi="zh-CN"/>
        </w:rPr>
        <w:t>（企业名称）</w:t>
      </w:r>
      <w:r>
        <w:rPr>
          <w:rFonts w:ascii="Times New Roman" w:hAnsi="Times New Roman"/>
          <w:color w:val="auto"/>
          <w:sz w:val="28"/>
          <w:szCs w:val="28"/>
          <w:highlight w:val="none"/>
          <w:lang w:bidi="zh-CN"/>
        </w:rPr>
        <w:t>，从业人员</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人，营业收入为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万元，资产总额为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万元，属于</w:t>
      </w:r>
      <w:r>
        <w:rPr>
          <w:rFonts w:ascii="Times New Roman" w:hAnsi="Times New Roman"/>
          <w:color w:val="auto"/>
          <w:sz w:val="28"/>
          <w:szCs w:val="28"/>
          <w:highlight w:val="none"/>
          <w:u w:val="single"/>
          <w:lang w:bidi="zh-CN"/>
        </w:rPr>
        <w:t>（中型企业、小型企业、微型企业）</w:t>
      </w:r>
      <w:r>
        <w:rPr>
          <w:rFonts w:ascii="Times New Roman" w:hAnsi="Times New Roman"/>
          <w:color w:val="auto"/>
          <w:sz w:val="28"/>
          <w:szCs w:val="28"/>
          <w:highlight w:val="none"/>
          <w:lang w:bidi="zh-CN"/>
        </w:rPr>
        <w:t>；</w:t>
      </w:r>
    </w:p>
    <w:p w14:paraId="2BF888BA">
      <w:pPr>
        <w:snapToGrid w:val="0"/>
        <w:spacing w:line="360" w:lineRule="auto"/>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w:t>
      </w:r>
    </w:p>
    <w:p w14:paraId="78A21172">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以上企业，不属于大企业的分支机构，不存在控股股东为大企业的情形，也不存在与大企业的负责人为同一人的情形。</w:t>
      </w:r>
    </w:p>
    <w:p w14:paraId="7C84465C">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本企业对上述声明内容的真实性负责。如有虚假，将依法承担相应责任。</w:t>
      </w:r>
    </w:p>
    <w:p w14:paraId="798C32AD">
      <w:pPr>
        <w:snapToGrid w:val="0"/>
        <w:spacing w:line="300" w:lineRule="auto"/>
        <w:outlineLvl w:val="0"/>
        <w:rPr>
          <w:rFonts w:ascii="Times New Roman" w:hAnsi="Times New Roman"/>
          <w:color w:val="auto"/>
          <w:sz w:val="28"/>
          <w:szCs w:val="28"/>
          <w:highlight w:val="none"/>
          <w:lang w:bidi="zh-CN"/>
        </w:rPr>
      </w:pPr>
    </w:p>
    <w:p w14:paraId="4EDF9037">
      <w:pPr>
        <w:snapToGrid w:val="0"/>
        <w:spacing w:line="300" w:lineRule="auto"/>
        <w:outlineLvl w:val="0"/>
        <w:rPr>
          <w:rFonts w:ascii="宋体" w:hAnsi="宋体" w:cs="宋体"/>
          <w:color w:val="auto"/>
          <w:szCs w:val="21"/>
          <w:highlight w:val="none"/>
          <w:lang w:bidi="zh-CN"/>
        </w:rPr>
      </w:pPr>
      <w:r>
        <w:rPr>
          <w:rFonts w:hint="eastAsia" w:ascii="宋体" w:hAnsi="宋体" w:cs="宋体"/>
          <w:color w:val="auto"/>
          <w:szCs w:val="21"/>
          <w:highlight w:val="none"/>
          <w:lang w:bidi="zh-CN"/>
        </w:rPr>
        <w:t>注：1.从业人员、营业收入、资产总额填报上一年度数据，无上一年度数据的新成立企业可不填报。</w:t>
      </w:r>
    </w:p>
    <w:p w14:paraId="7C38ECA8">
      <w:pPr>
        <w:snapToGrid w:val="0"/>
        <w:spacing w:line="300" w:lineRule="auto"/>
        <w:ind w:firstLine="420" w:firstLineChars="200"/>
        <w:outlineLvl w:val="0"/>
        <w:rPr>
          <w:rFonts w:ascii="宋体" w:hAnsi="宋体" w:cs="宋体"/>
          <w:color w:val="auto"/>
          <w:szCs w:val="21"/>
          <w:highlight w:val="none"/>
          <w:lang w:bidi="zh-CN"/>
        </w:rPr>
      </w:pPr>
      <w:r>
        <w:rPr>
          <w:rFonts w:ascii="宋体" w:hAnsi="宋体" w:cs="宋体"/>
          <w:color w:val="auto"/>
          <w:szCs w:val="21"/>
          <w:highlight w:val="none"/>
          <w:lang w:bidi="zh-CN"/>
        </w:rPr>
        <w:t>2</w:t>
      </w:r>
      <w:r>
        <w:rPr>
          <w:rFonts w:hint="eastAsia" w:ascii="宋体" w:hAnsi="宋体" w:cs="宋体"/>
          <w:color w:val="auto"/>
          <w:szCs w:val="21"/>
          <w:highlight w:val="none"/>
          <w:lang w:bidi="zh-CN"/>
        </w:rPr>
        <w:t>.投标供应商须根据上述要求，详细列明货物清单中所有产品制造商的具体情况，否则不能享受中小微企业扶持政策。</w:t>
      </w:r>
    </w:p>
    <w:p w14:paraId="2EDBEE1B">
      <w:pPr>
        <w:snapToGrid w:val="0"/>
        <w:spacing w:line="300" w:lineRule="auto"/>
        <w:ind w:firstLine="420" w:firstLineChars="200"/>
        <w:outlineLvl w:val="0"/>
        <w:rPr>
          <w:rFonts w:ascii="Times New Roman" w:hAnsi="Times New Roman"/>
          <w:color w:val="auto"/>
          <w:sz w:val="28"/>
          <w:szCs w:val="28"/>
          <w:highlight w:val="none"/>
          <w:lang w:bidi="zh-CN"/>
        </w:rPr>
      </w:pPr>
      <w:r>
        <w:rPr>
          <w:rFonts w:ascii="宋体" w:hAnsi="宋体" w:cs="宋体"/>
          <w:color w:val="auto"/>
          <w:szCs w:val="21"/>
          <w:highlight w:val="none"/>
          <w:lang w:bidi="zh-CN"/>
        </w:rPr>
        <w:t>3</w:t>
      </w:r>
      <w:r>
        <w:rPr>
          <w:rFonts w:hint="eastAsia" w:ascii="宋体" w:hAnsi="宋体" w:cs="宋体"/>
          <w:color w:val="auto"/>
          <w:szCs w:val="21"/>
          <w:highlight w:val="none"/>
          <w:lang w:bidi="zh-CN"/>
        </w:rPr>
        <w:t>.中标</w:t>
      </w:r>
      <w:r>
        <w:rPr>
          <w:rFonts w:ascii="宋体" w:hAnsi="宋体" w:cs="宋体"/>
          <w:color w:val="auto"/>
          <w:szCs w:val="21"/>
          <w:highlight w:val="none"/>
          <w:lang w:bidi="zh-CN"/>
        </w:rPr>
        <w:t>（</w:t>
      </w:r>
      <w:r>
        <w:rPr>
          <w:rFonts w:hint="eastAsia" w:ascii="宋体" w:hAnsi="宋体" w:cs="宋体"/>
          <w:color w:val="auto"/>
          <w:szCs w:val="21"/>
          <w:highlight w:val="none"/>
          <w:lang w:bidi="zh-CN"/>
        </w:rPr>
        <w:t>成交</w:t>
      </w:r>
      <w:r>
        <w:rPr>
          <w:rFonts w:ascii="宋体" w:hAnsi="宋体" w:cs="宋体"/>
          <w:color w:val="auto"/>
          <w:szCs w:val="21"/>
          <w:highlight w:val="none"/>
          <w:lang w:bidi="zh-CN"/>
        </w:rPr>
        <w:t>）</w:t>
      </w:r>
      <w:r>
        <w:rPr>
          <w:rFonts w:hint="eastAsia" w:ascii="宋体" w:hAnsi="宋体" w:cs="宋体"/>
          <w:color w:val="auto"/>
          <w:szCs w:val="21"/>
          <w:highlight w:val="none"/>
          <w:lang w:bidi="zh-CN"/>
        </w:rPr>
        <w:t>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64A4C10">
      <w:pPr>
        <w:snapToGrid w:val="0"/>
        <w:spacing w:line="300" w:lineRule="auto"/>
        <w:jc w:val="center"/>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 xml:space="preserve">                      </w:t>
      </w:r>
      <w:r>
        <w:rPr>
          <w:rFonts w:ascii="Times New Roman" w:hAnsi="Times New Roman"/>
          <w:color w:val="auto"/>
          <w:sz w:val="28"/>
          <w:szCs w:val="28"/>
          <w:highlight w:val="none"/>
          <w:lang w:bidi="zh-CN"/>
        </w:rPr>
        <w:t>企业名称（盖章）：</w:t>
      </w:r>
    </w:p>
    <w:p w14:paraId="2B54DBE1">
      <w:pPr>
        <w:snapToGrid w:val="0"/>
        <w:spacing w:line="300" w:lineRule="auto"/>
        <w:jc w:val="center"/>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 xml:space="preserve">          </w:t>
      </w:r>
      <w:r>
        <w:rPr>
          <w:rFonts w:ascii="Times New Roman" w:hAnsi="Times New Roman"/>
          <w:color w:val="auto"/>
          <w:sz w:val="28"/>
          <w:szCs w:val="28"/>
          <w:highlight w:val="none"/>
          <w:lang w:bidi="zh-CN"/>
        </w:rPr>
        <w:t>日期：</w:t>
      </w:r>
    </w:p>
    <w:p w14:paraId="718406F3">
      <w:pPr>
        <w:snapToGrid w:val="0"/>
        <w:spacing w:line="300" w:lineRule="auto"/>
        <w:outlineLvl w:val="0"/>
        <w:rPr>
          <w:rFonts w:ascii="Times New Roman" w:hAnsi="Times New Roman" w:eastAsia="方正黑体_GBK"/>
          <w:color w:val="auto"/>
          <w:sz w:val="32"/>
          <w:szCs w:val="32"/>
          <w:highlight w:val="none"/>
        </w:rPr>
      </w:pPr>
    </w:p>
    <w:p w14:paraId="710B8BAA">
      <w:pPr>
        <w:spacing w:before="64" w:line="224" w:lineRule="auto"/>
        <w:rPr>
          <w:rFonts w:hint="eastAsia" w:ascii="宋体" w:hAnsi="宋体" w:eastAsia="宋体" w:cs="宋体"/>
          <w:color w:val="auto"/>
          <w:spacing w:val="-7"/>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7"/>
          <w:sz w:val="31"/>
          <w:szCs w:val="31"/>
          <w:highlight w:val="none"/>
          <w:lang w:val="en-US" w:eastAsia="zh-CN"/>
        </w:rPr>
        <w:t>8</w:t>
      </w:r>
    </w:p>
    <w:p w14:paraId="62F9EE78">
      <w:pPr>
        <w:spacing w:line="460" w:lineRule="exact"/>
        <w:jc w:val="center"/>
        <w:rPr>
          <w:rFonts w:ascii="宋体" w:hAnsi="宋体"/>
          <w:b/>
          <w:color w:val="auto"/>
          <w:sz w:val="32"/>
          <w:szCs w:val="32"/>
          <w:highlight w:val="none"/>
        </w:rPr>
      </w:pPr>
      <w:r>
        <w:rPr>
          <w:rFonts w:hint="eastAsia" w:ascii="宋体" w:hAnsi="宋体"/>
          <w:b/>
          <w:color w:val="auto"/>
          <w:sz w:val="32"/>
          <w:szCs w:val="32"/>
          <w:highlight w:val="none"/>
        </w:rPr>
        <w:t>残疾人福利性单位声明函</w:t>
      </w:r>
    </w:p>
    <w:p w14:paraId="293E5939">
      <w:pPr>
        <w:spacing w:line="588"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bCs/>
          <w:color w:val="auto"/>
          <w:sz w:val="24"/>
          <w:szCs w:val="21"/>
          <w:highlight w:val="none"/>
          <w:u w:val="single"/>
        </w:rPr>
        <w:t>________</w:t>
      </w:r>
      <w:r>
        <w:rPr>
          <w:rFonts w:hint="eastAsia" w:ascii="宋体" w:hAnsi="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57F19B33">
      <w:pPr>
        <w:spacing w:line="588"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本单位对上述声明的真实性负责。如有虚假，将依法承担相应责任。</w:t>
      </w:r>
    </w:p>
    <w:p w14:paraId="6ADBD5E8">
      <w:pPr>
        <w:spacing w:line="588" w:lineRule="exact"/>
        <w:ind w:firstLine="560" w:firstLineChars="200"/>
        <w:rPr>
          <w:rFonts w:ascii="宋体" w:hAnsi="宋体"/>
          <w:color w:val="auto"/>
          <w:sz w:val="28"/>
          <w:szCs w:val="28"/>
          <w:highlight w:val="none"/>
        </w:rPr>
      </w:pPr>
    </w:p>
    <w:p w14:paraId="0EAA1215">
      <w:pPr>
        <w:spacing w:line="588" w:lineRule="exact"/>
        <w:ind w:firstLine="584" w:firstLineChars="200"/>
        <w:rPr>
          <w:rFonts w:ascii="仿宋_GB2312" w:hAnsi="Times New Roman" w:eastAsia="仿宋_GB2312"/>
          <w:color w:val="auto"/>
          <w:spacing w:val="6"/>
          <w:sz w:val="28"/>
          <w:szCs w:val="28"/>
          <w:highlight w:val="none"/>
        </w:rPr>
      </w:pPr>
    </w:p>
    <w:p w14:paraId="2D845937">
      <w:pPr>
        <w:spacing w:line="588" w:lineRule="exact"/>
        <w:ind w:firstLine="584" w:firstLineChars="200"/>
        <w:rPr>
          <w:rFonts w:ascii="仿宋_GB2312" w:hAnsi="Times New Roman" w:eastAsia="仿宋_GB2312"/>
          <w:color w:val="auto"/>
          <w:spacing w:val="6"/>
          <w:sz w:val="28"/>
          <w:szCs w:val="28"/>
          <w:highlight w:val="none"/>
        </w:rPr>
      </w:pPr>
    </w:p>
    <w:p w14:paraId="495F658D">
      <w:pPr>
        <w:snapToGrid w:val="0"/>
        <w:spacing w:line="300" w:lineRule="auto"/>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6BC7B281">
      <w:pPr>
        <w:spacing w:line="588" w:lineRule="exact"/>
        <w:ind w:firstLine="560" w:firstLineChars="200"/>
        <w:rPr>
          <w:rFonts w:ascii="仿宋_GB2312" w:hAnsi="Times New Roman" w:eastAsia="仿宋_GB2312"/>
          <w:color w:val="auto"/>
          <w:spacing w:val="6"/>
          <w:sz w:val="28"/>
          <w:szCs w:val="28"/>
          <w:highlight w:val="none"/>
        </w:rPr>
      </w:pPr>
      <w:r>
        <w:rPr>
          <w:rFonts w:hint="eastAsia" w:ascii="宋体" w:hAnsi="宋体" w:cs="宋体"/>
          <w:color w:val="auto"/>
          <w:sz w:val="28"/>
          <w:szCs w:val="28"/>
          <w:highlight w:val="none"/>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6717E85C">
      <w:pPr>
        <w:spacing w:line="588" w:lineRule="exact"/>
        <w:ind w:firstLine="584" w:firstLineChars="200"/>
        <w:rPr>
          <w:rFonts w:ascii="仿宋_GB2312" w:hAnsi="Times New Roman" w:eastAsia="仿宋_GB2312"/>
          <w:color w:val="auto"/>
          <w:spacing w:val="6"/>
          <w:sz w:val="28"/>
          <w:szCs w:val="28"/>
          <w:highlight w:val="none"/>
        </w:rPr>
      </w:pPr>
    </w:p>
    <w:p w14:paraId="1B3A0809">
      <w:pPr>
        <w:tabs>
          <w:tab w:val="left" w:pos="4860"/>
        </w:tabs>
        <w:spacing w:line="588" w:lineRule="exact"/>
        <w:ind w:right="1560" w:firstLine="584" w:firstLineChars="200"/>
        <w:jc w:val="center"/>
        <w:rPr>
          <w:rFonts w:ascii="宋体" w:hAnsi="宋体"/>
          <w:color w:val="auto"/>
          <w:sz w:val="28"/>
          <w:szCs w:val="28"/>
          <w:highlight w:val="none"/>
        </w:rPr>
      </w:pPr>
      <w:r>
        <w:rPr>
          <w:rFonts w:hint="eastAsia" w:ascii="仿宋_GB2312" w:hAnsi="Times New Roman" w:eastAsia="仿宋_GB2312"/>
          <w:color w:val="auto"/>
          <w:spacing w:val="6"/>
          <w:sz w:val="28"/>
          <w:szCs w:val="28"/>
          <w:highlight w:val="none"/>
        </w:rPr>
        <w:t xml:space="preserve">             </w:t>
      </w:r>
      <w:r>
        <w:rPr>
          <w:rFonts w:hint="eastAsia" w:ascii="宋体" w:hAnsi="宋体"/>
          <w:color w:val="auto"/>
          <w:sz w:val="28"/>
          <w:szCs w:val="28"/>
          <w:highlight w:val="none"/>
        </w:rPr>
        <w:t xml:space="preserve">          供应商全称（盖章）：</w:t>
      </w:r>
    </w:p>
    <w:p w14:paraId="1C53095A">
      <w:pPr>
        <w:tabs>
          <w:tab w:val="left" w:pos="4860"/>
        </w:tabs>
        <w:spacing w:line="588" w:lineRule="exact"/>
        <w:ind w:right="1560"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 xml:space="preserve">              日  期：</w:t>
      </w:r>
    </w:p>
    <w:p w14:paraId="389A917F">
      <w:pPr>
        <w:snapToGrid w:val="0"/>
        <w:spacing w:line="300" w:lineRule="auto"/>
        <w:outlineLvl w:val="0"/>
        <w:rPr>
          <w:rFonts w:ascii="Times New Roman" w:hAnsi="Times New Roman"/>
          <w:color w:val="auto"/>
          <w:sz w:val="28"/>
          <w:szCs w:val="28"/>
          <w:highlight w:val="none"/>
        </w:rPr>
      </w:pPr>
    </w:p>
    <w:p w14:paraId="1CCC79C6">
      <w:pPr>
        <w:snapToGrid w:val="0"/>
        <w:spacing w:line="300" w:lineRule="auto"/>
        <w:outlineLvl w:val="0"/>
        <w:rPr>
          <w:rFonts w:ascii="Times New Roman" w:hAnsi="Times New Roman" w:eastAsia="方正黑体_GBK"/>
          <w:color w:val="auto"/>
          <w:sz w:val="32"/>
          <w:szCs w:val="32"/>
          <w:highlight w:val="none"/>
        </w:rPr>
      </w:pPr>
    </w:p>
    <w:p w14:paraId="6B686317">
      <w:pPr>
        <w:snapToGrid w:val="0"/>
        <w:spacing w:line="300" w:lineRule="auto"/>
        <w:outlineLvl w:val="0"/>
        <w:rPr>
          <w:rFonts w:ascii="Times New Roman" w:hAnsi="Times New Roman" w:eastAsia="方正黑体_GBK"/>
          <w:color w:val="auto"/>
          <w:sz w:val="32"/>
          <w:szCs w:val="32"/>
          <w:highlight w:val="none"/>
        </w:rPr>
      </w:pPr>
    </w:p>
    <w:p w14:paraId="1EAE521C">
      <w:pPr>
        <w:snapToGrid w:val="0"/>
        <w:spacing w:line="300" w:lineRule="auto"/>
        <w:outlineLvl w:val="0"/>
        <w:rPr>
          <w:rFonts w:ascii="Times New Roman" w:hAnsi="Times New Roman" w:eastAsia="方正黑体_GBK"/>
          <w:color w:val="auto"/>
          <w:sz w:val="32"/>
          <w:szCs w:val="32"/>
          <w:highlight w:val="none"/>
        </w:rPr>
      </w:pPr>
    </w:p>
    <w:p w14:paraId="17C55E1F">
      <w:pPr>
        <w:snapToGrid w:val="0"/>
        <w:spacing w:line="300" w:lineRule="auto"/>
        <w:outlineLvl w:val="0"/>
        <w:rPr>
          <w:rFonts w:ascii="Times New Roman" w:hAnsi="Times New Roman" w:eastAsia="方正黑体_GBK"/>
          <w:color w:val="auto"/>
          <w:sz w:val="32"/>
          <w:szCs w:val="32"/>
          <w:highlight w:val="none"/>
        </w:rPr>
        <w:sectPr>
          <w:footerReference r:id="rId18" w:type="default"/>
          <w:pgSz w:w="11907" w:h="16839"/>
          <w:pgMar w:top="1221" w:right="1785" w:bottom="1154" w:left="1425" w:header="0" w:footer="989" w:gutter="0"/>
          <w:pgNumType w:fmt="decimal"/>
          <w:cols w:space="720" w:num="1"/>
        </w:sectPr>
      </w:pPr>
    </w:p>
    <w:p w14:paraId="2090AD41">
      <w:pPr>
        <w:spacing w:before="64" w:line="224" w:lineRule="auto"/>
        <w:rPr>
          <w:rFonts w:hint="eastAsia" w:ascii="宋体" w:hAnsi="宋体" w:eastAsia="宋体" w:cs="宋体"/>
          <w:color w:val="auto"/>
          <w:spacing w:val="-7"/>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7"/>
          <w:sz w:val="31"/>
          <w:szCs w:val="31"/>
          <w:highlight w:val="none"/>
          <w:lang w:val="en-US" w:eastAsia="zh-CN"/>
        </w:rPr>
        <w:t>9</w:t>
      </w:r>
    </w:p>
    <w:p w14:paraId="6953491D">
      <w:pPr>
        <w:snapToGrid w:val="0"/>
        <w:spacing w:line="420" w:lineRule="exact"/>
        <w:jc w:val="center"/>
        <w:outlineLvl w:val="3"/>
        <w:rPr>
          <w:b/>
          <w:bCs/>
          <w:color w:val="auto"/>
          <w:sz w:val="32"/>
          <w:szCs w:val="32"/>
          <w:highlight w:val="none"/>
        </w:rPr>
      </w:pPr>
      <w:r>
        <w:rPr>
          <w:rFonts w:hint="eastAsia"/>
          <w:b/>
          <w:bCs/>
          <w:color w:val="auto"/>
          <w:sz w:val="32"/>
          <w:szCs w:val="32"/>
          <w:highlight w:val="none"/>
        </w:rPr>
        <w:t>监狱和戒毒企业证明材料</w:t>
      </w:r>
    </w:p>
    <w:p w14:paraId="3B28C7B6">
      <w:pPr>
        <w:snapToGrid w:val="0"/>
        <w:spacing w:line="420" w:lineRule="exact"/>
        <w:ind w:firstLine="495" w:firstLineChars="177"/>
        <w:rPr>
          <w:rFonts w:ascii="宋体" w:hAnsi="宋体" w:cs="宋体"/>
          <w:color w:val="auto"/>
          <w:sz w:val="28"/>
          <w:szCs w:val="28"/>
          <w:highlight w:val="none"/>
        </w:rPr>
      </w:pPr>
    </w:p>
    <w:p w14:paraId="2682535B">
      <w:pPr>
        <w:snapToGrid w:val="0"/>
        <w:spacing w:line="420" w:lineRule="exact"/>
        <w:ind w:firstLine="496" w:firstLineChars="177"/>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14:paraId="70C49369">
      <w:pPr>
        <w:snapToGrid w:val="0"/>
        <w:spacing w:line="420" w:lineRule="exact"/>
        <w:ind w:firstLine="495" w:firstLineChars="177"/>
        <w:rPr>
          <w:rFonts w:ascii="宋体" w:hAnsi="宋体" w:cs="宋体"/>
          <w:color w:val="auto"/>
          <w:sz w:val="28"/>
          <w:szCs w:val="28"/>
          <w:highlight w:val="none"/>
        </w:rPr>
      </w:pPr>
    </w:p>
    <w:p w14:paraId="40581CAE">
      <w:pPr>
        <w:spacing w:line="588" w:lineRule="exact"/>
        <w:ind w:firstLine="560" w:firstLineChars="200"/>
        <w:rPr>
          <w:rFonts w:hint="eastAsia" w:ascii="宋体" w:hAnsi="宋体" w:cs="宋体"/>
          <w:color w:val="auto"/>
          <w:sz w:val="28"/>
          <w:szCs w:val="28"/>
          <w:highlight w:val="none"/>
          <w:lang w:bidi="zh-CN"/>
        </w:rPr>
      </w:pPr>
      <w:r>
        <w:rPr>
          <w:rFonts w:hint="eastAsia" w:ascii="宋体" w:hAnsi="宋体" w:cs="宋体"/>
          <w:color w:val="auto"/>
          <w:sz w:val="28"/>
          <w:szCs w:val="28"/>
          <w:highlight w:val="none"/>
          <w:lang w:bidi="zh-CN"/>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F510AAB">
      <w:pPr>
        <w:spacing w:line="588" w:lineRule="exact"/>
        <w:ind w:firstLine="560" w:firstLineChars="200"/>
        <w:rPr>
          <w:rFonts w:hint="eastAsia" w:ascii="宋体" w:hAnsi="宋体" w:cs="宋体"/>
          <w:color w:val="auto"/>
          <w:sz w:val="28"/>
          <w:szCs w:val="28"/>
          <w:highlight w:val="none"/>
          <w:lang w:bidi="zh-CN"/>
        </w:rPr>
      </w:pPr>
    </w:p>
    <w:p w14:paraId="3312F23A">
      <w:pPr>
        <w:spacing w:line="588" w:lineRule="exact"/>
        <w:ind w:firstLine="560" w:firstLineChars="200"/>
        <w:rPr>
          <w:rFonts w:hint="eastAsia" w:ascii="宋体" w:hAnsi="宋体" w:cs="宋体"/>
          <w:color w:val="auto"/>
          <w:sz w:val="28"/>
          <w:szCs w:val="28"/>
          <w:highlight w:val="none"/>
          <w:lang w:bidi="zh-CN"/>
        </w:rPr>
      </w:pPr>
    </w:p>
    <w:p w14:paraId="78E36612">
      <w:pPr>
        <w:spacing w:line="588" w:lineRule="exact"/>
        <w:ind w:firstLine="560" w:firstLineChars="200"/>
        <w:rPr>
          <w:rFonts w:hint="eastAsia" w:ascii="宋体" w:hAnsi="宋体" w:cs="宋体"/>
          <w:color w:val="auto"/>
          <w:sz w:val="28"/>
          <w:szCs w:val="28"/>
          <w:highlight w:val="none"/>
          <w:lang w:bidi="zh-CN"/>
        </w:rPr>
      </w:pPr>
    </w:p>
    <w:p w14:paraId="46CFB9EC">
      <w:pPr>
        <w:spacing w:line="588" w:lineRule="exact"/>
        <w:ind w:firstLine="560" w:firstLineChars="200"/>
        <w:rPr>
          <w:rFonts w:hint="eastAsia" w:ascii="宋体" w:hAnsi="宋体" w:cs="宋体"/>
          <w:color w:val="auto"/>
          <w:sz w:val="28"/>
          <w:szCs w:val="28"/>
          <w:highlight w:val="none"/>
          <w:lang w:bidi="zh-CN"/>
        </w:rPr>
      </w:pPr>
    </w:p>
    <w:p w14:paraId="2A1C7677">
      <w:pPr>
        <w:spacing w:line="588" w:lineRule="exact"/>
        <w:ind w:firstLine="560" w:firstLineChars="200"/>
        <w:rPr>
          <w:rFonts w:hint="eastAsia"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67B8279D">
      <w:pPr>
        <w:keepNext w:val="0"/>
        <w:keepLines w:val="0"/>
        <w:pageBreakBefore w:val="0"/>
        <w:widowControl/>
        <w:kinsoku/>
        <w:wordWrap/>
        <w:overflowPunct/>
        <w:topLinePunct/>
        <w:autoSpaceDE/>
        <w:autoSpaceDN/>
        <w:bidi w:val="0"/>
        <w:adjustRightInd w:val="0"/>
        <w:snapToGrid w:val="0"/>
        <w:spacing w:line="588" w:lineRule="exact"/>
        <w:ind w:firstLine="560" w:firstLineChars="200"/>
        <w:textAlignment w:val="baseline"/>
        <w:rPr>
          <w:rFonts w:hint="eastAsia" w:ascii="宋体" w:hAnsi="宋体" w:cs="宋体"/>
          <w:color w:val="auto"/>
          <w:sz w:val="28"/>
          <w:szCs w:val="28"/>
          <w:highlight w:val="none"/>
          <w:lang w:bidi="zh-CN"/>
        </w:rPr>
        <w:sectPr>
          <w:pgSz w:w="11907" w:h="16839"/>
          <w:pgMar w:top="1221" w:right="1785" w:bottom="1154" w:left="1425" w:header="0" w:footer="989" w:gutter="0"/>
          <w:pgNumType w:fmt="decimal"/>
          <w:cols w:space="720" w:num="1"/>
        </w:sectPr>
      </w:pPr>
      <w:r>
        <w:rPr>
          <w:rFonts w:hint="eastAsia" w:ascii="宋体" w:hAnsi="宋体" w:cs="宋体"/>
          <w:color w:val="auto"/>
          <w:sz w:val="28"/>
          <w:szCs w:val="28"/>
          <w:highlight w:val="none"/>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32C01AAB">
      <w:pPr>
        <w:pStyle w:val="2"/>
        <w:rPr>
          <w:color w:val="auto"/>
          <w:highlight w:val="none"/>
        </w:rPr>
      </w:pPr>
    </w:p>
    <w:p w14:paraId="58537A7E">
      <w:pPr>
        <w:spacing w:before="64" w:line="224" w:lineRule="auto"/>
        <w:rPr>
          <w:rFonts w:hint="default" w:ascii="宋体" w:hAnsi="宋体" w:eastAsia="宋体" w:cs="宋体"/>
          <w:color w:val="auto"/>
          <w:spacing w:val="-7"/>
          <w:sz w:val="31"/>
          <w:szCs w:val="31"/>
          <w:highlight w:val="none"/>
          <w:lang w:val="en-US"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7"/>
          <w:sz w:val="31"/>
          <w:szCs w:val="31"/>
          <w:highlight w:val="none"/>
          <w:lang w:val="en-US" w:eastAsia="zh-CN"/>
        </w:rPr>
        <w:t>10</w:t>
      </w:r>
    </w:p>
    <w:p w14:paraId="6A361C57">
      <w:pPr>
        <w:spacing w:before="226" w:line="219" w:lineRule="auto"/>
        <w:ind w:left="3643"/>
        <w:rPr>
          <w:rFonts w:ascii="宋体" w:hAnsi="宋体" w:eastAsia="宋体" w:cs="宋体"/>
          <w:color w:val="auto"/>
          <w:sz w:val="36"/>
          <w:szCs w:val="36"/>
          <w:highlight w:val="none"/>
        </w:rPr>
      </w:pPr>
      <w:r>
        <w:rPr>
          <w:rFonts w:ascii="宋体" w:hAnsi="宋体" w:eastAsia="宋体" w:cs="宋体"/>
          <w:color w:val="auto"/>
          <w:spacing w:val="-3"/>
          <w:sz w:val="36"/>
          <w:szCs w:val="36"/>
          <w:highlight w:val="none"/>
        </w:rPr>
        <w:t>质疑函范本</w:t>
      </w:r>
    </w:p>
    <w:p w14:paraId="1CE645EB">
      <w:pPr>
        <w:pStyle w:val="2"/>
        <w:spacing w:line="325" w:lineRule="auto"/>
        <w:rPr>
          <w:color w:val="auto"/>
          <w:highlight w:val="none"/>
        </w:rPr>
      </w:pPr>
    </w:p>
    <w:p w14:paraId="7A185E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一、质疑供应商基本信息</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rPr>
        <w:t>质疑供应商：</w:t>
      </w:r>
    </w:p>
    <w:p w14:paraId="3558EA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地址：邮编：</w:t>
      </w:r>
    </w:p>
    <w:p w14:paraId="3FB9000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pacing w:val="-9"/>
          <w:sz w:val="28"/>
          <w:szCs w:val="28"/>
          <w:highlight w:val="none"/>
        </w:rPr>
      </w:pPr>
      <w:r>
        <w:rPr>
          <w:rFonts w:ascii="宋体" w:hAnsi="宋体" w:eastAsia="宋体" w:cs="宋体"/>
          <w:color w:val="auto"/>
          <w:spacing w:val="-9"/>
          <w:sz w:val="28"/>
          <w:szCs w:val="28"/>
          <w:highlight w:val="none"/>
        </w:rPr>
        <w:t>联系人：联系电话：</w:t>
      </w:r>
    </w:p>
    <w:p w14:paraId="06D3EC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授权代表：</w:t>
      </w:r>
    </w:p>
    <w:p w14:paraId="754534B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联系电话：</w:t>
      </w:r>
    </w:p>
    <w:p w14:paraId="7DDA467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地址：邮编：</w:t>
      </w:r>
    </w:p>
    <w:p w14:paraId="76C16AF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二、质疑项目基本情况</w:t>
      </w:r>
      <w:r>
        <w:rPr>
          <w:rFonts w:ascii="宋体" w:hAnsi="宋体" w:eastAsia="宋体" w:cs="宋体"/>
          <w:color w:val="auto"/>
          <w:spacing w:val="3"/>
          <w:sz w:val="28"/>
          <w:szCs w:val="28"/>
          <w:highlight w:val="none"/>
        </w:rPr>
        <w:t xml:space="preserve"> </w:t>
      </w:r>
      <w:r>
        <w:rPr>
          <w:rFonts w:ascii="宋体" w:hAnsi="宋体" w:eastAsia="宋体" w:cs="宋体"/>
          <w:color w:val="auto"/>
          <w:spacing w:val="-2"/>
          <w:sz w:val="28"/>
          <w:szCs w:val="28"/>
          <w:highlight w:val="none"/>
        </w:rPr>
        <w:t>质疑项目的名称：</w:t>
      </w:r>
    </w:p>
    <w:p w14:paraId="0438AC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pacing w:val="-7"/>
          <w:sz w:val="28"/>
          <w:szCs w:val="28"/>
          <w:highlight w:val="none"/>
        </w:rPr>
      </w:pPr>
      <w:r>
        <w:rPr>
          <w:rFonts w:ascii="宋体" w:hAnsi="宋体" w:eastAsia="宋体" w:cs="宋体"/>
          <w:color w:val="auto"/>
          <w:spacing w:val="-7"/>
          <w:sz w:val="28"/>
          <w:szCs w:val="28"/>
          <w:highlight w:val="none"/>
        </w:rPr>
        <w:t>质疑项目的编号：包号：</w:t>
      </w:r>
    </w:p>
    <w:p w14:paraId="0ADB269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采购人名称：</w:t>
      </w:r>
    </w:p>
    <w:p w14:paraId="70E5DC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采购文件获取日期：</w:t>
      </w:r>
    </w:p>
    <w:p w14:paraId="0152CD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三、质疑事项具体内容</w:t>
      </w:r>
      <w:r>
        <w:rPr>
          <w:rFonts w:ascii="宋体" w:hAnsi="宋体" w:eastAsia="宋体" w:cs="宋体"/>
          <w:color w:val="auto"/>
          <w:spacing w:val="8"/>
          <w:sz w:val="28"/>
          <w:szCs w:val="28"/>
          <w:highlight w:val="none"/>
        </w:rPr>
        <w:t xml:space="preserve"> </w:t>
      </w:r>
      <w:r>
        <w:rPr>
          <w:rFonts w:ascii="宋体" w:hAnsi="宋体" w:eastAsia="宋体" w:cs="宋体"/>
          <w:color w:val="auto"/>
          <w:spacing w:val="-7"/>
          <w:sz w:val="28"/>
          <w:szCs w:val="28"/>
          <w:highlight w:val="none"/>
        </w:rPr>
        <w:t>质疑事项</w:t>
      </w:r>
      <w:r>
        <w:rPr>
          <w:rFonts w:ascii="宋体" w:hAnsi="宋体" w:eastAsia="宋体" w:cs="宋体"/>
          <w:color w:val="auto"/>
          <w:spacing w:val="-41"/>
          <w:sz w:val="28"/>
          <w:szCs w:val="28"/>
          <w:highlight w:val="none"/>
        </w:rPr>
        <w:t xml:space="preserve"> </w:t>
      </w:r>
      <w:r>
        <w:rPr>
          <w:rFonts w:ascii="宋体" w:hAnsi="宋体" w:eastAsia="宋体" w:cs="宋体"/>
          <w:color w:val="auto"/>
          <w:spacing w:val="-7"/>
          <w:sz w:val="28"/>
          <w:szCs w:val="28"/>
          <w:highlight w:val="none"/>
        </w:rPr>
        <w:t>1：</w:t>
      </w:r>
    </w:p>
    <w:p w14:paraId="4F2C526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事实依据：</w:t>
      </w:r>
    </w:p>
    <w:p w14:paraId="2784C6A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01AD2CB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5CC761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法律依据：</w:t>
      </w:r>
    </w:p>
    <w:p w14:paraId="2315D6E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5D67D2C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741258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6"/>
        <w:textAlignment w:val="baseline"/>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质疑事项</w:t>
      </w:r>
      <w:r>
        <w:rPr>
          <w:rFonts w:ascii="宋体" w:hAnsi="宋体" w:eastAsia="宋体" w:cs="宋体"/>
          <w:color w:val="auto"/>
          <w:spacing w:val="-58"/>
          <w:sz w:val="28"/>
          <w:szCs w:val="28"/>
          <w:highlight w:val="none"/>
        </w:rPr>
        <w:t xml:space="preserve"> </w:t>
      </w:r>
      <w:r>
        <w:rPr>
          <w:rFonts w:ascii="宋体" w:hAnsi="宋体" w:eastAsia="宋体" w:cs="宋体"/>
          <w:color w:val="auto"/>
          <w:spacing w:val="-5"/>
          <w:sz w:val="28"/>
          <w:szCs w:val="28"/>
          <w:highlight w:val="none"/>
        </w:rPr>
        <w:t>2</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w:t>
      </w:r>
    </w:p>
    <w:p w14:paraId="79DF330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8"/>
        <w:textAlignment w:val="baseline"/>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四、与质疑事项相关的质疑请求</w:t>
      </w:r>
      <w:r>
        <w:rPr>
          <w:rFonts w:ascii="宋体" w:hAnsi="宋体" w:eastAsia="宋体" w:cs="宋体"/>
          <w:color w:val="auto"/>
          <w:spacing w:val="4"/>
          <w:sz w:val="28"/>
          <w:szCs w:val="28"/>
          <w:highlight w:val="none"/>
        </w:rPr>
        <w:t xml:space="preserve"> </w:t>
      </w:r>
      <w:r>
        <w:rPr>
          <w:rFonts w:ascii="宋体" w:hAnsi="宋体" w:eastAsia="宋体" w:cs="宋体"/>
          <w:color w:val="auto"/>
          <w:spacing w:val="-16"/>
          <w:sz w:val="28"/>
          <w:szCs w:val="28"/>
          <w:highlight w:val="none"/>
        </w:rPr>
        <w:t>请求：</w:t>
      </w:r>
    </w:p>
    <w:p w14:paraId="435769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签字(签章)：</w:t>
      </w:r>
      <w:r>
        <w:rPr>
          <w:rFonts w:ascii="宋体" w:hAnsi="宋体" w:eastAsia="宋体" w:cs="宋体"/>
          <w:color w:val="auto"/>
          <w:spacing w:val="1"/>
          <w:sz w:val="28"/>
          <w:szCs w:val="28"/>
          <w:highlight w:val="none"/>
        </w:rPr>
        <w:t xml:space="preserve">                   </w:t>
      </w:r>
      <w:r>
        <w:rPr>
          <w:rFonts w:ascii="宋体" w:hAnsi="宋体" w:eastAsia="宋体" w:cs="宋体"/>
          <w:color w:val="auto"/>
          <w:spacing w:val="-7"/>
          <w:sz w:val="28"/>
          <w:szCs w:val="28"/>
          <w:highlight w:val="none"/>
        </w:rPr>
        <w:t>公章：</w:t>
      </w:r>
    </w:p>
    <w:p w14:paraId="1B366AF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8"/>
          <w:sz w:val="28"/>
          <w:szCs w:val="28"/>
          <w:highlight w:val="none"/>
        </w:rPr>
        <w:t>日期：</w:t>
      </w:r>
    </w:p>
    <w:p w14:paraId="7BBC0D6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14:paraId="001103D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14:paraId="5D7E64B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eastAsia="宋体" w:cs="宋体"/>
          <w:b/>
          <w:bCs/>
          <w:color w:val="auto"/>
          <w:spacing w:val="-11"/>
          <w:sz w:val="28"/>
          <w:szCs w:val="28"/>
          <w:highlight w:val="none"/>
        </w:rPr>
        <w:sectPr>
          <w:pgSz w:w="11907" w:h="16839"/>
          <w:pgMar w:top="1221" w:right="1785" w:bottom="1154" w:left="1425" w:header="0" w:footer="989" w:gutter="0"/>
          <w:pgNumType w:fmt="decimal"/>
          <w:cols w:space="720" w:num="1"/>
        </w:sectPr>
      </w:pPr>
    </w:p>
    <w:p w14:paraId="2275BEF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cs="宋体"/>
          <w:b/>
          <w:color w:val="auto"/>
          <w:sz w:val="28"/>
          <w:szCs w:val="28"/>
          <w:highlight w:val="none"/>
        </w:rPr>
      </w:pPr>
      <w:r>
        <w:rPr>
          <w:rFonts w:hint="eastAsia" w:ascii="宋体" w:hAnsi="宋体" w:cs="宋体"/>
          <w:b/>
          <w:color w:val="auto"/>
          <w:sz w:val="28"/>
          <w:szCs w:val="28"/>
          <w:highlight w:val="none"/>
        </w:rPr>
        <w:t>质疑函制作说明：</w:t>
      </w:r>
    </w:p>
    <w:p w14:paraId="1A2BE09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1.供应商提出质疑时，应提交质疑函和必要的证明材料。</w:t>
      </w:r>
    </w:p>
    <w:p w14:paraId="20532EE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cs="宋体"/>
          <w:color w:val="auto"/>
          <w:kern w:val="0"/>
          <w:sz w:val="28"/>
          <w:szCs w:val="28"/>
          <w:highlight w:val="none"/>
        </w:rPr>
        <w:t>供应商签署的授权委托书。授权委托书应载明代理人的姓名或者名称、代理事项、具体权限、期限和相关事项。</w:t>
      </w:r>
    </w:p>
    <w:p w14:paraId="323A78E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3.质疑供应商若对项目的某一分包进行质疑，质疑函中应列明具体分包号。</w:t>
      </w:r>
    </w:p>
    <w:p w14:paraId="083C355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4.质疑函的质疑事项应具体、明确，并有必要的事实依据和法律依据。</w:t>
      </w:r>
    </w:p>
    <w:p w14:paraId="08D7302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5.质疑函的质疑请求应与质疑事项相关。</w:t>
      </w:r>
    </w:p>
    <w:p w14:paraId="6455F0C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1"/>
        <w:textAlignment w:val="baseline"/>
        <w:rPr>
          <w:rFonts w:ascii="宋体" w:hAnsi="宋体" w:eastAsia="宋体" w:cs="宋体"/>
          <w:color w:val="auto"/>
          <w:spacing w:val="-1"/>
          <w:sz w:val="28"/>
          <w:szCs w:val="28"/>
          <w:highlight w:val="none"/>
        </w:rPr>
      </w:pPr>
      <w:r>
        <w:rPr>
          <w:rFonts w:hint="eastAsia" w:ascii="宋体" w:hAnsi="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2064D6A4">
      <w:pPr>
        <w:bidi w:val="0"/>
        <w:rPr>
          <w:rFonts w:ascii="Arial" w:hAnsi="Arial" w:eastAsia="Arial" w:cs="Arial"/>
          <w:snapToGrid w:val="0"/>
          <w:color w:val="auto"/>
          <w:kern w:val="0"/>
          <w:sz w:val="21"/>
          <w:szCs w:val="21"/>
          <w:highlight w:val="none"/>
          <w:lang w:val="en-US" w:eastAsia="en-US" w:bidi="ar-SA"/>
        </w:rPr>
      </w:pPr>
    </w:p>
    <w:p w14:paraId="5A8F785E">
      <w:pPr>
        <w:bidi w:val="0"/>
        <w:rPr>
          <w:color w:val="auto"/>
          <w:highlight w:val="none"/>
          <w:lang w:val="en-US" w:eastAsia="en-US"/>
        </w:rPr>
      </w:pPr>
    </w:p>
    <w:p w14:paraId="1AEC0A0F">
      <w:pPr>
        <w:bidi w:val="0"/>
        <w:rPr>
          <w:color w:val="auto"/>
          <w:highlight w:val="none"/>
          <w:lang w:val="en-US" w:eastAsia="en-US"/>
        </w:rPr>
      </w:pPr>
    </w:p>
    <w:p w14:paraId="4452E4E5">
      <w:pPr>
        <w:bidi w:val="0"/>
        <w:rPr>
          <w:color w:val="auto"/>
          <w:highlight w:val="none"/>
          <w:lang w:val="en-US" w:eastAsia="en-US"/>
        </w:rPr>
      </w:pPr>
    </w:p>
    <w:p w14:paraId="6BCFC040">
      <w:pPr>
        <w:bidi w:val="0"/>
        <w:rPr>
          <w:color w:val="auto"/>
          <w:highlight w:val="none"/>
          <w:lang w:val="en-US" w:eastAsia="en-US"/>
        </w:rPr>
      </w:pPr>
    </w:p>
    <w:p w14:paraId="1D8F7121">
      <w:pPr>
        <w:bidi w:val="0"/>
        <w:rPr>
          <w:color w:val="auto"/>
          <w:highlight w:val="none"/>
          <w:lang w:val="en-US" w:eastAsia="en-US"/>
        </w:rPr>
      </w:pPr>
    </w:p>
    <w:p w14:paraId="54610EC1">
      <w:pPr>
        <w:bidi w:val="0"/>
        <w:rPr>
          <w:color w:val="auto"/>
          <w:highlight w:val="none"/>
          <w:lang w:val="en-US" w:eastAsia="en-US"/>
        </w:rPr>
      </w:pPr>
    </w:p>
    <w:p w14:paraId="4BD03BE6">
      <w:pPr>
        <w:bidi w:val="0"/>
        <w:rPr>
          <w:color w:val="auto"/>
          <w:highlight w:val="none"/>
          <w:lang w:val="en-US" w:eastAsia="en-US"/>
        </w:rPr>
      </w:pPr>
    </w:p>
    <w:p w14:paraId="455ADB9E">
      <w:pPr>
        <w:bidi w:val="0"/>
        <w:rPr>
          <w:color w:val="auto"/>
          <w:highlight w:val="none"/>
          <w:lang w:val="en-US" w:eastAsia="en-US"/>
        </w:rPr>
      </w:pPr>
    </w:p>
    <w:p w14:paraId="28C924BD">
      <w:pPr>
        <w:bidi w:val="0"/>
        <w:rPr>
          <w:color w:val="auto"/>
          <w:highlight w:val="none"/>
          <w:lang w:val="en-US" w:eastAsia="en-US"/>
        </w:rPr>
      </w:pPr>
    </w:p>
    <w:p w14:paraId="547E3E69">
      <w:pPr>
        <w:bidi w:val="0"/>
        <w:rPr>
          <w:color w:val="auto"/>
          <w:highlight w:val="none"/>
          <w:lang w:val="en-US" w:eastAsia="en-US"/>
        </w:rPr>
      </w:pPr>
    </w:p>
    <w:p w14:paraId="3318E18B">
      <w:pPr>
        <w:bidi w:val="0"/>
        <w:rPr>
          <w:color w:val="auto"/>
          <w:highlight w:val="none"/>
          <w:lang w:val="en-US" w:eastAsia="en-US"/>
        </w:rPr>
      </w:pPr>
    </w:p>
    <w:p w14:paraId="6551DA01">
      <w:pPr>
        <w:bidi w:val="0"/>
        <w:jc w:val="center"/>
        <w:rPr>
          <w:color w:val="auto"/>
          <w:highlight w:val="none"/>
          <w:lang w:val="en-US" w:eastAsia="en-US"/>
        </w:rPr>
      </w:pPr>
    </w:p>
    <w:sectPr>
      <w:footerReference r:id="rId19" w:type="default"/>
      <w:pgSz w:w="11916" w:h="16841"/>
      <w:pgMar w:top="1431" w:right="1417" w:bottom="1012" w:left="1596" w:header="0" w:footer="8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BA27">
    <w:pPr>
      <w:spacing w:line="168" w:lineRule="auto"/>
      <w:ind w:left="458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F937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BF937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E95E">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3464E">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C3464E">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1D6A">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8E836">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1A8E836">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2EB2">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2849">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FD92849">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EEC9">
    <w:pPr>
      <w:spacing w:line="169" w:lineRule="auto"/>
      <w:ind w:left="4592"/>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B0D54">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26B0D54">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2268">
    <w:pPr>
      <w:spacing w:line="169" w:lineRule="auto"/>
      <w:ind w:left="4445"/>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09404">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C709404">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63B9">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F9229">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4F9229">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5012">
    <w:pPr>
      <w:spacing w:line="169" w:lineRule="auto"/>
      <w:ind w:left="421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03C8A">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403C8A">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E93A">
    <w:pPr>
      <w:spacing w:line="167"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4E93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A4E93C">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B71A">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9C74A">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69C74A">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3412">
    <w:pPr>
      <w:spacing w:line="168" w:lineRule="auto"/>
      <w:ind w:left="441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9D453">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99D453">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CBDB">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5D1B0">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05D1B0">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BEA6">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F7BB5">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3AF7BB5">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921B">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81755">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081755">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A818">
    <w:pPr>
      <w:spacing w:line="169" w:lineRule="auto"/>
      <w:ind w:left="4388"/>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BCBD7">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4BCBD7">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739D0"/>
    <w:multiLevelType w:val="singleLevel"/>
    <w:tmpl w:val="4C8739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B6281"/>
    <w:rsid w:val="002410F1"/>
    <w:rsid w:val="004C0647"/>
    <w:rsid w:val="00DC19CB"/>
    <w:rsid w:val="00E667B8"/>
    <w:rsid w:val="01211AD4"/>
    <w:rsid w:val="017E0CD4"/>
    <w:rsid w:val="01E44FDB"/>
    <w:rsid w:val="01FD609D"/>
    <w:rsid w:val="021138F7"/>
    <w:rsid w:val="02535CBD"/>
    <w:rsid w:val="02693733"/>
    <w:rsid w:val="026B1259"/>
    <w:rsid w:val="026C4FD1"/>
    <w:rsid w:val="02B40E52"/>
    <w:rsid w:val="02C941D1"/>
    <w:rsid w:val="02F2197A"/>
    <w:rsid w:val="03123DCA"/>
    <w:rsid w:val="035D3297"/>
    <w:rsid w:val="039B3DC0"/>
    <w:rsid w:val="041F2855"/>
    <w:rsid w:val="043A5387"/>
    <w:rsid w:val="04657F2A"/>
    <w:rsid w:val="04893C18"/>
    <w:rsid w:val="049A4077"/>
    <w:rsid w:val="049D76C3"/>
    <w:rsid w:val="04AE18D1"/>
    <w:rsid w:val="04DC01EC"/>
    <w:rsid w:val="04E946B7"/>
    <w:rsid w:val="04EF6A01"/>
    <w:rsid w:val="052878D5"/>
    <w:rsid w:val="05500BDA"/>
    <w:rsid w:val="058C1C12"/>
    <w:rsid w:val="059211F2"/>
    <w:rsid w:val="05B253F0"/>
    <w:rsid w:val="05D610DF"/>
    <w:rsid w:val="065B3392"/>
    <w:rsid w:val="06982838"/>
    <w:rsid w:val="06E17D3B"/>
    <w:rsid w:val="074B3407"/>
    <w:rsid w:val="074D5706"/>
    <w:rsid w:val="07750484"/>
    <w:rsid w:val="083420ED"/>
    <w:rsid w:val="08386081"/>
    <w:rsid w:val="083D71F3"/>
    <w:rsid w:val="085A5FF7"/>
    <w:rsid w:val="08F17FDE"/>
    <w:rsid w:val="09385C0D"/>
    <w:rsid w:val="095D5673"/>
    <w:rsid w:val="097E3F67"/>
    <w:rsid w:val="09C120A6"/>
    <w:rsid w:val="09CA0F5B"/>
    <w:rsid w:val="0A47106E"/>
    <w:rsid w:val="0A522CFE"/>
    <w:rsid w:val="0A544CC8"/>
    <w:rsid w:val="0A6842D0"/>
    <w:rsid w:val="0A73514E"/>
    <w:rsid w:val="0A84735B"/>
    <w:rsid w:val="0A9450C5"/>
    <w:rsid w:val="0AC05EBA"/>
    <w:rsid w:val="0AD6392F"/>
    <w:rsid w:val="0B416FFB"/>
    <w:rsid w:val="0C4A717C"/>
    <w:rsid w:val="0CA666F2"/>
    <w:rsid w:val="0D142033"/>
    <w:rsid w:val="0D157953"/>
    <w:rsid w:val="0D33382B"/>
    <w:rsid w:val="0D660F9A"/>
    <w:rsid w:val="0E323572"/>
    <w:rsid w:val="0E342E47"/>
    <w:rsid w:val="0E5057A7"/>
    <w:rsid w:val="0ED91C40"/>
    <w:rsid w:val="0F0E1BE1"/>
    <w:rsid w:val="0F113188"/>
    <w:rsid w:val="0F346E76"/>
    <w:rsid w:val="0F9242C9"/>
    <w:rsid w:val="0FBF4528"/>
    <w:rsid w:val="10166113"/>
    <w:rsid w:val="106D2640"/>
    <w:rsid w:val="10B1077E"/>
    <w:rsid w:val="10FE14EA"/>
    <w:rsid w:val="117874EE"/>
    <w:rsid w:val="119836EC"/>
    <w:rsid w:val="12086AC4"/>
    <w:rsid w:val="12217B86"/>
    <w:rsid w:val="12661A3D"/>
    <w:rsid w:val="12665599"/>
    <w:rsid w:val="12753A2E"/>
    <w:rsid w:val="128819B3"/>
    <w:rsid w:val="12CD5618"/>
    <w:rsid w:val="12F25FF2"/>
    <w:rsid w:val="12F40DF6"/>
    <w:rsid w:val="13426006"/>
    <w:rsid w:val="13433B2C"/>
    <w:rsid w:val="139323BD"/>
    <w:rsid w:val="13AA5959"/>
    <w:rsid w:val="13D11138"/>
    <w:rsid w:val="13F76DF0"/>
    <w:rsid w:val="14BF5434"/>
    <w:rsid w:val="14DE621D"/>
    <w:rsid w:val="152D05F0"/>
    <w:rsid w:val="153B40D2"/>
    <w:rsid w:val="154912E1"/>
    <w:rsid w:val="157D1577"/>
    <w:rsid w:val="15826B8D"/>
    <w:rsid w:val="159D39C7"/>
    <w:rsid w:val="15D867AD"/>
    <w:rsid w:val="161A5018"/>
    <w:rsid w:val="16DF591A"/>
    <w:rsid w:val="17626C76"/>
    <w:rsid w:val="177B16DD"/>
    <w:rsid w:val="180A4C18"/>
    <w:rsid w:val="18363C5F"/>
    <w:rsid w:val="186B1B5B"/>
    <w:rsid w:val="18AD2173"/>
    <w:rsid w:val="18DC0363"/>
    <w:rsid w:val="193F08F1"/>
    <w:rsid w:val="195720DF"/>
    <w:rsid w:val="198F1879"/>
    <w:rsid w:val="19E80F89"/>
    <w:rsid w:val="19F65454"/>
    <w:rsid w:val="1A073B05"/>
    <w:rsid w:val="1A310B82"/>
    <w:rsid w:val="1A7840BB"/>
    <w:rsid w:val="1A7F5449"/>
    <w:rsid w:val="1AA50C28"/>
    <w:rsid w:val="1AD35795"/>
    <w:rsid w:val="1AE96D67"/>
    <w:rsid w:val="1AEC6857"/>
    <w:rsid w:val="1BBC447B"/>
    <w:rsid w:val="1BDA1960"/>
    <w:rsid w:val="1C752FA8"/>
    <w:rsid w:val="1C901B90"/>
    <w:rsid w:val="1CB6711D"/>
    <w:rsid w:val="1CC47A8B"/>
    <w:rsid w:val="1CF001EB"/>
    <w:rsid w:val="1D3A5FA0"/>
    <w:rsid w:val="1D3E15EC"/>
    <w:rsid w:val="1D835251"/>
    <w:rsid w:val="1D884F5D"/>
    <w:rsid w:val="1DDE13F8"/>
    <w:rsid w:val="1DEA3522"/>
    <w:rsid w:val="1E470974"/>
    <w:rsid w:val="1E731769"/>
    <w:rsid w:val="1EEB7551"/>
    <w:rsid w:val="1EFD1033"/>
    <w:rsid w:val="1F02489B"/>
    <w:rsid w:val="1F647304"/>
    <w:rsid w:val="1FAB0A8F"/>
    <w:rsid w:val="1FB75686"/>
    <w:rsid w:val="1FF00B97"/>
    <w:rsid w:val="1FFE32B4"/>
    <w:rsid w:val="205729C5"/>
    <w:rsid w:val="20717F2A"/>
    <w:rsid w:val="208D63E6"/>
    <w:rsid w:val="20B00A53"/>
    <w:rsid w:val="210A714C"/>
    <w:rsid w:val="2127683B"/>
    <w:rsid w:val="215D400B"/>
    <w:rsid w:val="21DA38AD"/>
    <w:rsid w:val="21E40288"/>
    <w:rsid w:val="21E62252"/>
    <w:rsid w:val="21FA7AAB"/>
    <w:rsid w:val="221C5C74"/>
    <w:rsid w:val="22284619"/>
    <w:rsid w:val="223B259E"/>
    <w:rsid w:val="22947F00"/>
    <w:rsid w:val="229B216B"/>
    <w:rsid w:val="22B1460E"/>
    <w:rsid w:val="22D8603F"/>
    <w:rsid w:val="2305495A"/>
    <w:rsid w:val="2318468D"/>
    <w:rsid w:val="238567AD"/>
    <w:rsid w:val="238E494F"/>
    <w:rsid w:val="23C155B0"/>
    <w:rsid w:val="241430A6"/>
    <w:rsid w:val="243E45C7"/>
    <w:rsid w:val="244B0A92"/>
    <w:rsid w:val="24AA7567"/>
    <w:rsid w:val="24D9609E"/>
    <w:rsid w:val="25115838"/>
    <w:rsid w:val="251A0B90"/>
    <w:rsid w:val="25895A83"/>
    <w:rsid w:val="258B383C"/>
    <w:rsid w:val="25BC1449"/>
    <w:rsid w:val="25C91C6F"/>
    <w:rsid w:val="26094761"/>
    <w:rsid w:val="262B191A"/>
    <w:rsid w:val="269009DE"/>
    <w:rsid w:val="26914E82"/>
    <w:rsid w:val="26B648E9"/>
    <w:rsid w:val="26EA6341"/>
    <w:rsid w:val="26FC7E22"/>
    <w:rsid w:val="27502C51"/>
    <w:rsid w:val="276E2ACE"/>
    <w:rsid w:val="277F117F"/>
    <w:rsid w:val="27856069"/>
    <w:rsid w:val="27AF30E6"/>
    <w:rsid w:val="282C4737"/>
    <w:rsid w:val="28553C8E"/>
    <w:rsid w:val="2890116A"/>
    <w:rsid w:val="28A569C3"/>
    <w:rsid w:val="28DA276A"/>
    <w:rsid w:val="291853E7"/>
    <w:rsid w:val="293935AF"/>
    <w:rsid w:val="295B71C5"/>
    <w:rsid w:val="29820AB2"/>
    <w:rsid w:val="299802D6"/>
    <w:rsid w:val="299E3412"/>
    <w:rsid w:val="2A0531B5"/>
    <w:rsid w:val="2A272F9E"/>
    <w:rsid w:val="2A2B2EF8"/>
    <w:rsid w:val="2A41271B"/>
    <w:rsid w:val="2A4D10C0"/>
    <w:rsid w:val="2A9156A2"/>
    <w:rsid w:val="2A9C4169"/>
    <w:rsid w:val="2AB0164F"/>
    <w:rsid w:val="2AC82E3D"/>
    <w:rsid w:val="2ACE1AD5"/>
    <w:rsid w:val="2AD73080"/>
    <w:rsid w:val="2AD96DF8"/>
    <w:rsid w:val="2BC74EA2"/>
    <w:rsid w:val="2BD61589"/>
    <w:rsid w:val="2BF0264B"/>
    <w:rsid w:val="2C2E4F21"/>
    <w:rsid w:val="2C475FE3"/>
    <w:rsid w:val="2C6B3A80"/>
    <w:rsid w:val="2CB01DDA"/>
    <w:rsid w:val="2CC43190"/>
    <w:rsid w:val="2CC969F8"/>
    <w:rsid w:val="2CCD64E8"/>
    <w:rsid w:val="2CE37ABA"/>
    <w:rsid w:val="2CF0667B"/>
    <w:rsid w:val="2D0363AE"/>
    <w:rsid w:val="2D1759B5"/>
    <w:rsid w:val="2D4D13D7"/>
    <w:rsid w:val="2D850B71"/>
    <w:rsid w:val="2D962D7E"/>
    <w:rsid w:val="2DA07759"/>
    <w:rsid w:val="2DC53663"/>
    <w:rsid w:val="2DD6761F"/>
    <w:rsid w:val="2E220AB6"/>
    <w:rsid w:val="2E731311"/>
    <w:rsid w:val="2E99420B"/>
    <w:rsid w:val="2F1523C9"/>
    <w:rsid w:val="2F2820FC"/>
    <w:rsid w:val="2F5E5B1E"/>
    <w:rsid w:val="2F650C5A"/>
    <w:rsid w:val="2F6A2714"/>
    <w:rsid w:val="2F835584"/>
    <w:rsid w:val="2FC55B9D"/>
    <w:rsid w:val="301937F3"/>
    <w:rsid w:val="306F7BE3"/>
    <w:rsid w:val="308B2942"/>
    <w:rsid w:val="309D2676"/>
    <w:rsid w:val="30A12166"/>
    <w:rsid w:val="30A13F14"/>
    <w:rsid w:val="30C61BCC"/>
    <w:rsid w:val="30F57DBC"/>
    <w:rsid w:val="31215055"/>
    <w:rsid w:val="314B20D2"/>
    <w:rsid w:val="315A40C3"/>
    <w:rsid w:val="317E24A7"/>
    <w:rsid w:val="318F0210"/>
    <w:rsid w:val="31DA524D"/>
    <w:rsid w:val="321626E0"/>
    <w:rsid w:val="3216623C"/>
    <w:rsid w:val="32454D73"/>
    <w:rsid w:val="327613D0"/>
    <w:rsid w:val="329F4483"/>
    <w:rsid w:val="32BA306B"/>
    <w:rsid w:val="32F47227"/>
    <w:rsid w:val="332A247B"/>
    <w:rsid w:val="33CB12A8"/>
    <w:rsid w:val="33D453FD"/>
    <w:rsid w:val="33E35BA8"/>
    <w:rsid w:val="34142C4F"/>
    <w:rsid w:val="34757B91"/>
    <w:rsid w:val="34CA0ED9"/>
    <w:rsid w:val="34F36D08"/>
    <w:rsid w:val="35170C48"/>
    <w:rsid w:val="356814A4"/>
    <w:rsid w:val="356D0868"/>
    <w:rsid w:val="359A5F52"/>
    <w:rsid w:val="362F5B1E"/>
    <w:rsid w:val="36B129D7"/>
    <w:rsid w:val="36C721FA"/>
    <w:rsid w:val="36D3294D"/>
    <w:rsid w:val="36E44B5A"/>
    <w:rsid w:val="370276D6"/>
    <w:rsid w:val="371F3DE4"/>
    <w:rsid w:val="37362EDC"/>
    <w:rsid w:val="37A147F9"/>
    <w:rsid w:val="37B9762D"/>
    <w:rsid w:val="37CC5185"/>
    <w:rsid w:val="37D3697D"/>
    <w:rsid w:val="37DB7746"/>
    <w:rsid w:val="37DC3A83"/>
    <w:rsid w:val="38163439"/>
    <w:rsid w:val="38523D46"/>
    <w:rsid w:val="388B36C0"/>
    <w:rsid w:val="38D34C9F"/>
    <w:rsid w:val="38DE1A7D"/>
    <w:rsid w:val="38E56968"/>
    <w:rsid w:val="39155068"/>
    <w:rsid w:val="39553AED"/>
    <w:rsid w:val="3960046C"/>
    <w:rsid w:val="396E2E01"/>
    <w:rsid w:val="39934616"/>
    <w:rsid w:val="399F745E"/>
    <w:rsid w:val="39A20CCC"/>
    <w:rsid w:val="39A24859"/>
    <w:rsid w:val="39D52E80"/>
    <w:rsid w:val="39D709A6"/>
    <w:rsid w:val="39D864CC"/>
    <w:rsid w:val="39DE1D35"/>
    <w:rsid w:val="39F01254"/>
    <w:rsid w:val="39F96B6F"/>
    <w:rsid w:val="3A0A0D7C"/>
    <w:rsid w:val="3A1F40FB"/>
    <w:rsid w:val="3A454FA5"/>
    <w:rsid w:val="3A59463F"/>
    <w:rsid w:val="3A5B15D7"/>
    <w:rsid w:val="3A63223A"/>
    <w:rsid w:val="3A7C154E"/>
    <w:rsid w:val="3ABD5DEE"/>
    <w:rsid w:val="3ACD3B57"/>
    <w:rsid w:val="3AD66EB0"/>
    <w:rsid w:val="3ADB2718"/>
    <w:rsid w:val="3AE72E6B"/>
    <w:rsid w:val="3B4C0F20"/>
    <w:rsid w:val="3B862684"/>
    <w:rsid w:val="3B9A7EDD"/>
    <w:rsid w:val="3BAC1555"/>
    <w:rsid w:val="3BCB0097"/>
    <w:rsid w:val="3BDA29D0"/>
    <w:rsid w:val="3C4D0C5B"/>
    <w:rsid w:val="3CE84C78"/>
    <w:rsid w:val="3CF655E7"/>
    <w:rsid w:val="3D5D5666"/>
    <w:rsid w:val="3D6F0EF6"/>
    <w:rsid w:val="3DB8289D"/>
    <w:rsid w:val="3E157CEF"/>
    <w:rsid w:val="3E8F1850"/>
    <w:rsid w:val="3EAD43CC"/>
    <w:rsid w:val="3ED5122D"/>
    <w:rsid w:val="3F4B7F0F"/>
    <w:rsid w:val="3F827606"/>
    <w:rsid w:val="3FDD483D"/>
    <w:rsid w:val="40022383"/>
    <w:rsid w:val="400E2C48"/>
    <w:rsid w:val="401D732F"/>
    <w:rsid w:val="404E587F"/>
    <w:rsid w:val="40B437EF"/>
    <w:rsid w:val="40D45C40"/>
    <w:rsid w:val="41197AF6"/>
    <w:rsid w:val="413C4D93"/>
    <w:rsid w:val="417D0085"/>
    <w:rsid w:val="41EF2605"/>
    <w:rsid w:val="42022339"/>
    <w:rsid w:val="425608D6"/>
    <w:rsid w:val="42E3660E"/>
    <w:rsid w:val="42E934F8"/>
    <w:rsid w:val="42F51E9D"/>
    <w:rsid w:val="430A3B9B"/>
    <w:rsid w:val="43762FDE"/>
    <w:rsid w:val="43993170"/>
    <w:rsid w:val="43EA7528"/>
    <w:rsid w:val="43F612C7"/>
    <w:rsid w:val="44823C05"/>
    <w:rsid w:val="44B15770"/>
    <w:rsid w:val="44B518E4"/>
    <w:rsid w:val="44BA6EFA"/>
    <w:rsid w:val="44F763A1"/>
    <w:rsid w:val="44FE33C3"/>
    <w:rsid w:val="45C81AEB"/>
    <w:rsid w:val="45D16C06"/>
    <w:rsid w:val="460A5C60"/>
    <w:rsid w:val="46841EB6"/>
    <w:rsid w:val="471A1ED2"/>
    <w:rsid w:val="473C7FF6"/>
    <w:rsid w:val="47431429"/>
    <w:rsid w:val="475A2C17"/>
    <w:rsid w:val="475E6263"/>
    <w:rsid w:val="47CA1B4A"/>
    <w:rsid w:val="47CC58C3"/>
    <w:rsid w:val="480C3F11"/>
    <w:rsid w:val="48592ECE"/>
    <w:rsid w:val="485F7486"/>
    <w:rsid w:val="48992953"/>
    <w:rsid w:val="48A15864"/>
    <w:rsid w:val="48BB1493"/>
    <w:rsid w:val="492434DC"/>
    <w:rsid w:val="49281B4A"/>
    <w:rsid w:val="49521DF7"/>
    <w:rsid w:val="495D254A"/>
    <w:rsid w:val="49843F7B"/>
    <w:rsid w:val="49A32653"/>
    <w:rsid w:val="49D7054F"/>
    <w:rsid w:val="4A286FFC"/>
    <w:rsid w:val="4A857FAB"/>
    <w:rsid w:val="4ACE54AE"/>
    <w:rsid w:val="4AF3760A"/>
    <w:rsid w:val="4B2D58AE"/>
    <w:rsid w:val="4B490FD8"/>
    <w:rsid w:val="4B4F11E9"/>
    <w:rsid w:val="4BBF74EC"/>
    <w:rsid w:val="4BCB7C3F"/>
    <w:rsid w:val="4BE87E41"/>
    <w:rsid w:val="4BF90C50"/>
    <w:rsid w:val="4BFC429C"/>
    <w:rsid w:val="4C1B42D7"/>
    <w:rsid w:val="4C29271E"/>
    <w:rsid w:val="4C5639AD"/>
    <w:rsid w:val="4C63431C"/>
    <w:rsid w:val="4C9170DB"/>
    <w:rsid w:val="4CA7245A"/>
    <w:rsid w:val="4D203FBB"/>
    <w:rsid w:val="4D225F85"/>
    <w:rsid w:val="4D6B3488"/>
    <w:rsid w:val="4D84279B"/>
    <w:rsid w:val="4D9A3D6D"/>
    <w:rsid w:val="4DAF5517"/>
    <w:rsid w:val="4DC66910"/>
    <w:rsid w:val="4DD40EBD"/>
    <w:rsid w:val="4E2D4BE1"/>
    <w:rsid w:val="4E9904C8"/>
    <w:rsid w:val="4EDD03B5"/>
    <w:rsid w:val="4F132D6A"/>
    <w:rsid w:val="4F4B17C3"/>
    <w:rsid w:val="4F532425"/>
    <w:rsid w:val="4F7E2395"/>
    <w:rsid w:val="4F806F93"/>
    <w:rsid w:val="4F822D0B"/>
    <w:rsid w:val="4FA26F09"/>
    <w:rsid w:val="4FD86DCF"/>
    <w:rsid w:val="513B13C3"/>
    <w:rsid w:val="514A7858"/>
    <w:rsid w:val="514F30C0"/>
    <w:rsid w:val="518C60C3"/>
    <w:rsid w:val="51A11B6E"/>
    <w:rsid w:val="51BF1FF4"/>
    <w:rsid w:val="51D75590"/>
    <w:rsid w:val="520B6FE7"/>
    <w:rsid w:val="526B217C"/>
    <w:rsid w:val="52733715"/>
    <w:rsid w:val="52892D6A"/>
    <w:rsid w:val="52972F71"/>
    <w:rsid w:val="532A7941"/>
    <w:rsid w:val="53642E53"/>
    <w:rsid w:val="536A2433"/>
    <w:rsid w:val="536F35A6"/>
    <w:rsid w:val="537B1F4B"/>
    <w:rsid w:val="538928BA"/>
    <w:rsid w:val="53B86CFB"/>
    <w:rsid w:val="53D079E3"/>
    <w:rsid w:val="53F71F19"/>
    <w:rsid w:val="54016B1C"/>
    <w:rsid w:val="54125B38"/>
    <w:rsid w:val="54732FDB"/>
    <w:rsid w:val="549459BA"/>
    <w:rsid w:val="54F71AA5"/>
    <w:rsid w:val="5503044A"/>
    <w:rsid w:val="55197C6D"/>
    <w:rsid w:val="553B7BE4"/>
    <w:rsid w:val="55711857"/>
    <w:rsid w:val="557865E0"/>
    <w:rsid w:val="559C45FD"/>
    <w:rsid w:val="55F47A7B"/>
    <w:rsid w:val="563034C0"/>
    <w:rsid w:val="56570A4D"/>
    <w:rsid w:val="567E247E"/>
    <w:rsid w:val="56927CD7"/>
    <w:rsid w:val="56C105BC"/>
    <w:rsid w:val="56C67981"/>
    <w:rsid w:val="57597595"/>
    <w:rsid w:val="576176AA"/>
    <w:rsid w:val="577E64AD"/>
    <w:rsid w:val="57A06424"/>
    <w:rsid w:val="581A61D6"/>
    <w:rsid w:val="583628E4"/>
    <w:rsid w:val="588E2720"/>
    <w:rsid w:val="58B57DDB"/>
    <w:rsid w:val="58F22CAF"/>
    <w:rsid w:val="58F509F1"/>
    <w:rsid w:val="595219A0"/>
    <w:rsid w:val="596040BD"/>
    <w:rsid w:val="59CA7788"/>
    <w:rsid w:val="5A0233C6"/>
    <w:rsid w:val="5A3D7F5A"/>
    <w:rsid w:val="5A8D5520"/>
    <w:rsid w:val="5AAC50E0"/>
    <w:rsid w:val="5ACC4024"/>
    <w:rsid w:val="5B044F1C"/>
    <w:rsid w:val="5B2E3D47"/>
    <w:rsid w:val="5B4041A6"/>
    <w:rsid w:val="5B413A7A"/>
    <w:rsid w:val="5B61411C"/>
    <w:rsid w:val="5B773940"/>
    <w:rsid w:val="5BA65FD3"/>
    <w:rsid w:val="5C0F5926"/>
    <w:rsid w:val="5C2A0D3A"/>
    <w:rsid w:val="5C2E04A2"/>
    <w:rsid w:val="5C675762"/>
    <w:rsid w:val="5CD01559"/>
    <w:rsid w:val="5CD64696"/>
    <w:rsid w:val="5CF50FC0"/>
    <w:rsid w:val="5CF977E4"/>
    <w:rsid w:val="5D30024A"/>
    <w:rsid w:val="5D4C3B50"/>
    <w:rsid w:val="5D5C2DED"/>
    <w:rsid w:val="5D621746"/>
    <w:rsid w:val="5D973E25"/>
    <w:rsid w:val="5D9B28C6"/>
    <w:rsid w:val="5D9C58DF"/>
    <w:rsid w:val="5D9E1657"/>
    <w:rsid w:val="5DA21958"/>
    <w:rsid w:val="5DD961EC"/>
    <w:rsid w:val="5E145476"/>
    <w:rsid w:val="5E2E216C"/>
    <w:rsid w:val="5E371164"/>
    <w:rsid w:val="5E5B4E53"/>
    <w:rsid w:val="5E68756F"/>
    <w:rsid w:val="5EBD2437"/>
    <w:rsid w:val="5EC16736"/>
    <w:rsid w:val="5EC24ED2"/>
    <w:rsid w:val="5ED52E57"/>
    <w:rsid w:val="5EF64B7B"/>
    <w:rsid w:val="5F0C439F"/>
    <w:rsid w:val="5F3A715E"/>
    <w:rsid w:val="5F4B136B"/>
    <w:rsid w:val="5F750196"/>
    <w:rsid w:val="5F772160"/>
    <w:rsid w:val="5F8108E9"/>
    <w:rsid w:val="5FAD5B82"/>
    <w:rsid w:val="5FBB029F"/>
    <w:rsid w:val="5FF92B75"/>
    <w:rsid w:val="60455DBA"/>
    <w:rsid w:val="60567FC7"/>
    <w:rsid w:val="60966616"/>
    <w:rsid w:val="60B13450"/>
    <w:rsid w:val="60BB607C"/>
    <w:rsid w:val="611A0FF5"/>
    <w:rsid w:val="614E0C9F"/>
    <w:rsid w:val="61702322"/>
    <w:rsid w:val="617701F5"/>
    <w:rsid w:val="617C580C"/>
    <w:rsid w:val="6186668A"/>
    <w:rsid w:val="623B7475"/>
    <w:rsid w:val="62976675"/>
    <w:rsid w:val="62B45479"/>
    <w:rsid w:val="62D41677"/>
    <w:rsid w:val="62FB30A8"/>
    <w:rsid w:val="631D6E2D"/>
    <w:rsid w:val="635D3FBE"/>
    <w:rsid w:val="636649C5"/>
    <w:rsid w:val="63895FF3"/>
    <w:rsid w:val="63B34237"/>
    <w:rsid w:val="64382184"/>
    <w:rsid w:val="64430863"/>
    <w:rsid w:val="644F7208"/>
    <w:rsid w:val="645D5138"/>
    <w:rsid w:val="6481138B"/>
    <w:rsid w:val="649317EA"/>
    <w:rsid w:val="651D5558"/>
    <w:rsid w:val="652F2B95"/>
    <w:rsid w:val="654943D9"/>
    <w:rsid w:val="656D67BC"/>
    <w:rsid w:val="65791844"/>
    <w:rsid w:val="65DA51F7"/>
    <w:rsid w:val="65F77B57"/>
    <w:rsid w:val="662326FA"/>
    <w:rsid w:val="66377F53"/>
    <w:rsid w:val="66383CCB"/>
    <w:rsid w:val="66763171"/>
    <w:rsid w:val="6679056C"/>
    <w:rsid w:val="66B26720"/>
    <w:rsid w:val="66CB4B3F"/>
    <w:rsid w:val="66D6776C"/>
    <w:rsid w:val="673C3302"/>
    <w:rsid w:val="67B11F87"/>
    <w:rsid w:val="67BA52E0"/>
    <w:rsid w:val="67D839B8"/>
    <w:rsid w:val="680447AD"/>
    <w:rsid w:val="685F7C35"/>
    <w:rsid w:val="68757459"/>
    <w:rsid w:val="68D22427"/>
    <w:rsid w:val="695B21AB"/>
    <w:rsid w:val="696338B8"/>
    <w:rsid w:val="69DD7064"/>
    <w:rsid w:val="69EC6E3D"/>
    <w:rsid w:val="69FF522C"/>
    <w:rsid w:val="6A171182"/>
    <w:rsid w:val="6A1D1B56"/>
    <w:rsid w:val="6A7A6FA8"/>
    <w:rsid w:val="6AB44268"/>
    <w:rsid w:val="6AB9362D"/>
    <w:rsid w:val="6AD31DAB"/>
    <w:rsid w:val="6B016D82"/>
    <w:rsid w:val="6B054AC4"/>
    <w:rsid w:val="6B1C292B"/>
    <w:rsid w:val="6B533A81"/>
    <w:rsid w:val="6B7D28AC"/>
    <w:rsid w:val="6B824366"/>
    <w:rsid w:val="6BDF5315"/>
    <w:rsid w:val="6C384A25"/>
    <w:rsid w:val="6C53185F"/>
    <w:rsid w:val="6C8C6B1F"/>
    <w:rsid w:val="6C9A123C"/>
    <w:rsid w:val="6CAE6A95"/>
    <w:rsid w:val="6D194857"/>
    <w:rsid w:val="6DD861DA"/>
    <w:rsid w:val="6E846B68"/>
    <w:rsid w:val="6E860F64"/>
    <w:rsid w:val="6EE36644"/>
    <w:rsid w:val="6F435BBB"/>
    <w:rsid w:val="6F651FD5"/>
    <w:rsid w:val="6FB940CF"/>
    <w:rsid w:val="6FD9207B"/>
    <w:rsid w:val="70093638"/>
    <w:rsid w:val="70C96594"/>
    <w:rsid w:val="70E21403"/>
    <w:rsid w:val="71092E34"/>
    <w:rsid w:val="71265794"/>
    <w:rsid w:val="717E2EDA"/>
    <w:rsid w:val="718524BB"/>
    <w:rsid w:val="72036B4E"/>
    <w:rsid w:val="722F2426"/>
    <w:rsid w:val="723932A5"/>
    <w:rsid w:val="72D74F98"/>
    <w:rsid w:val="72F22421"/>
    <w:rsid w:val="731743ED"/>
    <w:rsid w:val="73937D81"/>
    <w:rsid w:val="73DC038C"/>
    <w:rsid w:val="73F41B79"/>
    <w:rsid w:val="74082F2F"/>
    <w:rsid w:val="74744A68"/>
    <w:rsid w:val="74AB4CFC"/>
    <w:rsid w:val="74B66881"/>
    <w:rsid w:val="752913AF"/>
    <w:rsid w:val="75417E31"/>
    <w:rsid w:val="755521A4"/>
    <w:rsid w:val="75706FDE"/>
    <w:rsid w:val="75784853"/>
    <w:rsid w:val="761E4C8C"/>
    <w:rsid w:val="766823AB"/>
    <w:rsid w:val="7677698F"/>
    <w:rsid w:val="768F28F0"/>
    <w:rsid w:val="76D11CFE"/>
    <w:rsid w:val="76E00193"/>
    <w:rsid w:val="76E557A9"/>
    <w:rsid w:val="76FB321F"/>
    <w:rsid w:val="770C71DA"/>
    <w:rsid w:val="77260CE3"/>
    <w:rsid w:val="775070C7"/>
    <w:rsid w:val="775841CD"/>
    <w:rsid w:val="776A6BE7"/>
    <w:rsid w:val="77796166"/>
    <w:rsid w:val="77DF1FFC"/>
    <w:rsid w:val="77F1750C"/>
    <w:rsid w:val="789456D9"/>
    <w:rsid w:val="78992CEF"/>
    <w:rsid w:val="78A0407E"/>
    <w:rsid w:val="78A51694"/>
    <w:rsid w:val="78D21D5D"/>
    <w:rsid w:val="78DB3308"/>
    <w:rsid w:val="78E33F6B"/>
    <w:rsid w:val="78EC743A"/>
    <w:rsid w:val="791B3704"/>
    <w:rsid w:val="794A5D98"/>
    <w:rsid w:val="796E1A86"/>
    <w:rsid w:val="799A6D1F"/>
    <w:rsid w:val="79E306C6"/>
    <w:rsid w:val="7A2230A7"/>
    <w:rsid w:val="7A3E3B4E"/>
    <w:rsid w:val="7A882894"/>
    <w:rsid w:val="7A903C7E"/>
    <w:rsid w:val="7A996FD7"/>
    <w:rsid w:val="7AA339B1"/>
    <w:rsid w:val="7AAC6D0A"/>
    <w:rsid w:val="7AF75AAB"/>
    <w:rsid w:val="7AF83CFD"/>
    <w:rsid w:val="7B735A7A"/>
    <w:rsid w:val="7B803CF3"/>
    <w:rsid w:val="7B845591"/>
    <w:rsid w:val="7CA35EEB"/>
    <w:rsid w:val="7CAD1618"/>
    <w:rsid w:val="7CBC3ECA"/>
    <w:rsid w:val="7CDB7433"/>
    <w:rsid w:val="7D020E63"/>
    <w:rsid w:val="7D5C044C"/>
    <w:rsid w:val="7D676F18"/>
    <w:rsid w:val="7D6C452F"/>
    <w:rsid w:val="7DAF3A78"/>
    <w:rsid w:val="7DCF4ABD"/>
    <w:rsid w:val="7E0C1242"/>
    <w:rsid w:val="7E326A3A"/>
    <w:rsid w:val="7EAB72D9"/>
    <w:rsid w:val="7F0F1615"/>
    <w:rsid w:val="7F2362C4"/>
    <w:rsid w:val="7F315A30"/>
    <w:rsid w:val="7F8F2756"/>
    <w:rsid w:val="7FE64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spacing w:after="120" w:line="480" w:lineRule="auto"/>
    </w:pPr>
    <w:rPr>
      <w:kern w:val="1"/>
    </w:rPr>
  </w:style>
  <w:style w:type="paragraph" w:styleId="6">
    <w:name w:val="Normal (Web)"/>
    <w:basedOn w:val="1"/>
    <w:next w:val="7"/>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customStyle="1" w:styleId="7">
    <w:name w:val="*正文"/>
    <w:basedOn w:val="1"/>
    <w:autoRedefine/>
    <w:qFormat/>
    <w:uiPriority w:val="0"/>
    <w:rPr>
      <w:rFonts w:ascii="宋体" w:hAnsi="宋体"/>
      <w:kern w:val="0"/>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8"/>
      <w:szCs w:val="28"/>
      <w:lang w:val="en-US" w:eastAsia="en-US" w:bidi="ar-SA"/>
    </w:rPr>
  </w:style>
  <w:style w:type="paragraph" w:customStyle="1" w:styleId="12">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8689</Words>
  <Characters>9008</Characters>
  <TotalTime>0</TotalTime>
  <ScaleCrop>false</ScaleCrop>
  <LinksUpToDate>false</LinksUpToDate>
  <CharactersWithSpaces>9117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2024-06-06T10:58:00Z</dcterms:created>
  <dc:creator>Administrator</dc:creator>
  <cp:lastModifiedBy>九五年的情书.</cp:lastModifiedBy>
  <cp:lastPrinted>2025-01-13T02:44:00Z</cp:lastPrinted>
  <dcterms:modified xsi:type="dcterms:W3CDTF">2025-04-10T09:09:35Z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2024-12-27T09:17:36Z</vt:filetime>
  </property>
  <property fmtid="{D5CDD505-2E9C-101B-9397-08002B2CF9AE}" pid="4" name="KSOProductBuildVer">
    <vt:lpwstr>2052-12.1.0.20784</vt:lpwstr>
  </property>
  <property fmtid="{D5CDD505-2E9C-101B-9397-08002B2CF9AE}" pid="5" name="ICV">
    <vt:lpwstr>3F42EA554B0D4953A7FDA4826802A269_12</vt:lpwstr>
  </property>
  <property fmtid="{D5CDD505-2E9C-101B-9397-08002B2CF9AE}" pid="6" name="KSOTemplateDocerSaveRecord">
    <vt:lpwstr>eyJoZGlkIjoiMzEzYzAxOWNkY2RiMmE0OTVjZDYzMGI1ZDNhZjdhMzEiLCJ1c2VySWQiOiI0MTEyMDI2OTMifQ==</vt:lpwstr>
  </property>
</Properties>
</file>