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201CB">
      <w:pPr>
        <w:jc w:val="center"/>
        <w:rPr>
          <w:rFonts w:hint="eastAsia" w:asciiTheme="minorEastAsia" w:hAnsiTheme="minorEastAsia"/>
          <w:b/>
          <w:spacing w:val="-6"/>
          <w:sz w:val="32"/>
          <w:szCs w:val="32"/>
          <w:lang w:val="en-US" w:eastAsia="zh-CN"/>
        </w:rPr>
      </w:pPr>
      <w:r>
        <w:rPr>
          <w:rFonts w:hint="eastAsia" w:asciiTheme="minorEastAsia" w:hAnsiTheme="minorEastAsia"/>
          <w:b/>
          <w:spacing w:val="-6"/>
          <w:sz w:val="32"/>
          <w:szCs w:val="32"/>
          <w:lang w:val="en-US" w:eastAsia="zh-CN"/>
        </w:rPr>
        <w:t>启东市自来水厂有限公司倒流防止器2025-2027年度采购项目</w:t>
      </w:r>
    </w:p>
    <w:p w14:paraId="180F08C4">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市场询价公告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启东市自来水厂有限公司的启东市自来水厂有限公司倒流防止器2025-2027年度采购项目即将实施，现就该项目进行市场询价调研。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一、采购需求：详见附件《</w:t>
      </w:r>
      <w:r>
        <w:rPr>
          <w:rFonts w:hint="eastAsia" w:ascii="宋体" w:hAnsi="宋体" w:eastAsia="宋体"/>
          <w:sz w:val="24"/>
          <w:szCs w:val="24"/>
          <w:lang w:val="en-US" w:eastAsia="zh-CN"/>
        </w:rPr>
        <w:t>启东市自来水厂有限公司倒流防止器2025-2027年度采购项目采购清单</w:t>
      </w:r>
      <w:r>
        <w:rPr>
          <w:rFonts w:hint="eastAsia" w:ascii="宋体" w:hAnsi="宋体" w:eastAsia="宋体" w:cs="宋体"/>
          <w:sz w:val="24"/>
          <w:szCs w:val="24"/>
          <w:lang w:val="en-US" w:eastAsia="zh-CN"/>
        </w:rPr>
        <w:t>》。</w:t>
      </w:r>
    </w:p>
    <w:p w14:paraId="61316EBE">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宋体" w:hAnsi="宋体" w:eastAsia="宋体" w:cs="宋体"/>
          <w:color w:val="000000"/>
          <w:sz w:val="24"/>
          <w:szCs w:val="24"/>
        </w:rPr>
      </w:pPr>
      <w:r>
        <w:rPr>
          <w:rFonts w:hint="eastAsia" w:cs="宋体"/>
          <w:color w:val="000000"/>
          <w:sz w:val="24"/>
          <w:szCs w:val="24"/>
          <w:lang w:val="en-US" w:eastAsia="zh-CN"/>
        </w:rPr>
        <w:t>二、</w:t>
      </w:r>
      <w:r>
        <w:rPr>
          <w:rFonts w:hint="eastAsia" w:ascii="宋体" w:hAnsi="宋体" w:eastAsia="宋体" w:cs="宋体"/>
          <w:color w:val="000000"/>
          <w:sz w:val="24"/>
          <w:szCs w:val="24"/>
        </w:rPr>
        <w:t>约定事项</w:t>
      </w:r>
    </w:p>
    <w:p w14:paraId="3B0E100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.供货周期</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val="en-US" w:eastAsia="zh-CN"/>
        </w:rPr>
        <w:t>2年。</w:t>
      </w:r>
    </w:p>
    <w:p w14:paraId="0DE269A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default" w:ascii="宋体" w:hAnsi="宋体" w:eastAsia="宋体" w:cs="宋体"/>
          <w:kern w:val="0"/>
          <w:sz w:val="24"/>
          <w:szCs w:val="24"/>
          <w:highlight w:val="none"/>
          <w:lang w:val="en-US" w:eastAsia="zh-CN"/>
        </w:rPr>
      </w:pPr>
      <w:r>
        <w:rPr>
          <w:rStyle w:val="28"/>
          <w:rFonts w:hint="eastAsia" w:ascii="宋体" w:hAnsi="宋体" w:eastAsia="宋体" w:cs="宋体"/>
          <w:kern w:val="0"/>
          <w:sz w:val="24"/>
          <w:szCs w:val="24"/>
          <w:highlight w:val="none"/>
          <w:lang w:val="en-US" w:eastAsia="zh-CN"/>
        </w:rPr>
        <w:t>2</w:t>
      </w:r>
      <w:r>
        <w:rPr>
          <w:rStyle w:val="28"/>
          <w:rFonts w:hint="eastAsia" w:ascii="宋体" w:hAnsi="宋体" w:eastAsia="宋体" w:cs="宋体"/>
          <w:kern w:val="0"/>
          <w:sz w:val="24"/>
          <w:szCs w:val="24"/>
          <w:highlight w:val="none"/>
        </w:rPr>
        <w:t>.</w:t>
      </w:r>
      <w:r>
        <w:rPr>
          <w:rStyle w:val="28"/>
          <w:rFonts w:hint="eastAsia" w:ascii="宋体" w:hAnsi="宋体" w:eastAsia="宋体" w:cs="宋体"/>
          <w:kern w:val="0"/>
          <w:sz w:val="24"/>
          <w:szCs w:val="24"/>
          <w:highlight w:val="none"/>
          <w:lang w:val="en-US" w:eastAsia="zh-CN"/>
        </w:rPr>
        <w:t>质保要求：1年（含)以上。</w:t>
      </w:r>
    </w:p>
    <w:p w14:paraId="2BF3629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Style w:val="28"/>
          <w:rFonts w:hint="eastAsia" w:ascii="宋体" w:hAnsi="宋体" w:eastAsia="宋体" w:cs="宋体"/>
          <w:kern w:val="0"/>
          <w:sz w:val="24"/>
          <w:szCs w:val="24"/>
          <w:highlight w:val="none"/>
          <w:lang w:val="en-US" w:eastAsia="zh-CN"/>
        </w:rPr>
        <w:t>3.</w:t>
      </w:r>
      <w:r>
        <w:rPr>
          <w:rStyle w:val="28"/>
          <w:rFonts w:hint="eastAsia" w:ascii="宋体" w:hAnsi="宋体" w:eastAsia="宋体" w:cs="宋体"/>
          <w:kern w:val="0"/>
          <w:sz w:val="24"/>
          <w:szCs w:val="24"/>
          <w:highlight w:val="none"/>
        </w:rPr>
        <w:t>参与报价的单位需将</w:t>
      </w:r>
      <w:r>
        <w:rPr>
          <w:rStyle w:val="28"/>
          <w:rFonts w:hint="eastAsia" w:ascii="宋体" w:hAnsi="宋体" w:eastAsia="宋体" w:cs="宋体"/>
          <w:kern w:val="0"/>
          <w:sz w:val="24"/>
          <w:szCs w:val="24"/>
          <w:highlight w:val="none"/>
          <w:lang w:val="en-US" w:eastAsia="zh-CN"/>
        </w:rPr>
        <w:t>有效的</w:t>
      </w:r>
      <w:r>
        <w:rPr>
          <w:rStyle w:val="28"/>
          <w:rFonts w:hint="eastAsia" w:ascii="宋体" w:hAnsi="宋体" w:eastAsia="宋体" w:cs="宋体"/>
          <w:kern w:val="0"/>
          <w:sz w:val="24"/>
          <w:szCs w:val="24"/>
          <w:highlight w:val="none"/>
        </w:rPr>
        <w:t>营业执照复印件和市场询价</w:t>
      </w:r>
      <w:r>
        <w:rPr>
          <w:rStyle w:val="28"/>
          <w:rFonts w:hint="eastAsia" w:ascii="宋体" w:hAnsi="宋体" w:eastAsia="宋体" w:cs="宋体"/>
          <w:kern w:val="0"/>
          <w:sz w:val="24"/>
          <w:szCs w:val="24"/>
          <w:highlight w:val="none"/>
          <w:lang w:val="en-US" w:eastAsia="zh-CN"/>
        </w:rPr>
        <w:t>报价单（含汇总表及分项报价表）</w:t>
      </w:r>
      <w:r>
        <w:rPr>
          <w:rStyle w:val="28"/>
          <w:rFonts w:hint="eastAsia" w:ascii="宋体" w:hAnsi="宋体" w:eastAsia="宋体" w:cs="宋体"/>
          <w:kern w:val="0"/>
          <w:sz w:val="24"/>
          <w:szCs w:val="24"/>
          <w:highlight w:val="none"/>
        </w:rPr>
        <w:t>于</w:t>
      </w:r>
      <w:r>
        <w:rPr>
          <w:rStyle w:val="28"/>
          <w:rFonts w:hint="eastAsia" w:ascii="宋体" w:hAnsi="宋体" w:eastAsia="宋体" w:cs="宋体"/>
          <w:kern w:val="0"/>
          <w:sz w:val="24"/>
          <w:szCs w:val="24"/>
          <w:highlight w:val="yellow"/>
        </w:rPr>
        <w:t>202</w:t>
      </w:r>
      <w:r>
        <w:rPr>
          <w:rStyle w:val="28"/>
          <w:rFonts w:hint="eastAsia" w:ascii="宋体" w:hAnsi="宋体" w:eastAsia="宋体" w:cs="宋体"/>
          <w:kern w:val="0"/>
          <w:sz w:val="24"/>
          <w:szCs w:val="24"/>
          <w:highlight w:val="yellow"/>
          <w:lang w:val="en-US" w:eastAsia="zh-CN"/>
        </w:rPr>
        <w:t>5</w:t>
      </w:r>
      <w:r>
        <w:rPr>
          <w:rStyle w:val="28"/>
          <w:rFonts w:hint="eastAsia" w:ascii="宋体" w:hAnsi="宋体" w:eastAsia="宋体" w:cs="宋体"/>
          <w:kern w:val="0"/>
          <w:sz w:val="24"/>
          <w:szCs w:val="24"/>
          <w:highlight w:val="yellow"/>
        </w:rPr>
        <w:t>年</w:t>
      </w:r>
      <w:r>
        <w:rPr>
          <w:rStyle w:val="28"/>
          <w:rFonts w:hint="eastAsia" w:ascii="宋体" w:hAnsi="宋体" w:eastAsia="宋体" w:cs="宋体"/>
          <w:kern w:val="0"/>
          <w:sz w:val="24"/>
          <w:szCs w:val="24"/>
          <w:highlight w:val="yellow"/>
          <w:lang w:val="en-US" w:eastAsia="zh-CN"/>
        </w:rPr>
        <w:t>2</w:t>
      </w:r>
      <w:r>
        <w:rPr>
          <w:rStyle w:val="28"/>
          <w:rFonts w:hint="eastAsia" w:ascii="宋体" w:hAnsi="宋体" w:eastAsia="宋体" w:cs="宋体"/>
          <w:kern w:val="0"/>
          <w:sz w:val="24"/>
          <w:szCs w:val="24"/>
          <w:highlight w:val="yellow"/>
        </w:rPr>
        <w:t>月</w:t>
      </w:r>
      <w:r>
        <w:rPr>
          <w:rStyle w:val="28"/>
          <w:rFonts w:hint="eastAsia" w:ascii="宋体" w:hAnsi="宋体" w:eastAsia="宋体" w:cs="宋体"/>
          <w:kern w:val="0"/>
          <w:sz w:val="24"/>
          <w:szCs w:val="24"/>
          <w:highlight w:val="yellow"/>
          <w:lang w:val="en-US" w:eastAsia="zh-CN"/>
        </w:rPr>
        <w:t>27</w:t>
      </w:r>
      <w:r>
        <w:rPr>
          <w:rStyle w:val="28"/>
          <w:rFonts w:hint="eastAsia" w:ascii="宋体" w:hAnsi="宋体" w:eastAsia="宋体" w:cs="宋体"/>
          <w:kern w:val="0"/>
          <w:sz w:val="24"/>
          <w:szCs w:val="24"/>
          <w:highlight w:val="yellow"/>
        </w:rPr>
        <w:t>日</w:t>
      </w:r>
      <w:r>
        <w:rPr>
          <w:rStyle w:val="28"/>
          <w:rFonts w:hint="eastAsia" w:ascii="宋体" w:hAnsi="宋体" w:eastAsia="宋体" w:cs="宋体"/>
          <w:kern w:val="0"/>
          <w:sz w:val="24"/>
          <w:szCs w:val="24"/>
          <w:highlight w:val="none"/>
        </w:rPr>
        <w:t>17:00前</w:t>
      </w:r>
      <w:r>
        <w:rPr>
          <w:rStyle w:val="28"/>
          <w:rFonts w:hint="eastAsia" w:ascii="宋体" w:hAnsi="宋体" w:eastAsia="宋体" w:cs="宋体"/>
          <w:kern w:val="0"/>
          <w:sz w:val="24"/>
          <w:szCs w:val="24"/>
          <w:highlight w:val="none"/>
          <w:lang w:eastAsia="zh-CN"/>
        </w:rPr>
        <w:t>，</w:t>
      </w:r>
      <w:r>
        <w:rPr>
          <w:rFonts w:hint="eastAsia" w:ascii="宋体" w:hAnsi="宋体" w:eastAsia="宋体" w:cs="宋体"/>
          <w:color w:val="auto"/>
          <w:sz w:val="24"/>
          <w:szCs w:val="24"/>
          <w:highlight w:val="none"/>
        </w:rPr>
        <w:t>送或寄（以邮戳为准）或者电子邮箱（以邮件收到时间为准）。送或寄的地址为：</w:t>
      </w:r>
      <w:r>
        <w:rPr>
          <w:rFonts w:hint="eastAsia" w:ascii="宋体" w:hAnsi="宋体" w:eastAsia="宋体" w:cs="宋体"/>
          <w:color w:val="auto"/>
          <w:sz w:val="24"/>
          <w:szCs w:val="24"/>
          <w:highlight w:val="none"/>
          <w:u w:val="single"/>
          <w:lang w:val="en-US" w:eastAsia="zh-CN"/>
        </w:rPr>
        <w:t>启东市江海中路579号（建都大厦）2号楼三楼</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俞女士，</w:t>
      </w:r>
      <w:r>
        <w:rPr>
          <w:rFonts w:hint="eastAsia" w:ascii="宋体" w:hAnsi="宋体" w:eastAsia="宋体" w:cs="宋体"/>
          <w:color w:val="auto"/>
          <w:sz w:val="24"/>
          <w:szCs w:val="24"/>
          <w:highlight w:val="none"/>
          <w:u w:val="none"/>
          <w:lang w:val="en-US" w:eastAsia="zh-CN"/>
        </w:rPr>
        <w:t>联系电话：</w:t>
      </w:r>
      <w:r>
        <w:rPr>
          <w:rFonts w:hint="eastAsia" w:ascii="宋体" w:hAnsi="宋体" w:eastAsia="宋体" w:cs="宋体"/>
          <w:color w:val="auto"/>
          <w:sz w:val="24"/>
          <w:szCs w:val="24"/>
          <w:highlight w:val="none"/>
          <w:u w:val="single"/>
          <w:lang w:val="en-US" w:eastAsia="zh-CN"/>
        </w:rPr>
        <w:t>0513-83721688</w:t>
      </w:r>
      <w:r>
        <w:rPr>
          <w:rFonts w:hint="eastAsia" w:ascii="宋体" w:hAnsi="宋体" w:eastAsia="宋体" w:cs="宋体"/>
          <w:color w:val="auto"/>
          <w:sz w:val="24"/>
          <w:szCs w:val="24"/>
          <w:highlight w:val="none"/>
        </w:rPr>
        <w:t>,电子邮箱地址为：</w:t>
      </w:r>
      <w:r>
        <w:rPr>
          <w:rFonts w:hint="eastAsia" w:ascii="宋体" w:hAnsi="宋体" w:eastAsia="宋体" w:cs="宋体"/>
          <w:color w:val="auto"/>
          <w:sz w:val="24"/>
          <w:szCs w:val="24"/>
          <w:highlight w:val="none"/>
          <w:u w:val="single"/>
          <w:lang w:val="en-US" w:eastAsia="zh-CN"/>
        </w:rPr>
        <w:t xml:space="preserve"> 872292813@qq.com </w:t>
      </w:r>
      <w:r>
        <w:rPr>
          <w:rFonts w:hint="eastAsia" w:ascii="宋体" w:hAnsi="宋体" w:eastAsia="宋体" w:cs="宋体"/>
          <w:color w:val="auto"/>
          <w:sz w:val="24"/>
          <w:szCs w:val="24"/>
          <w:highlight w:val="none"/>
        </w:rPr>
        <w:t>。</w:t>
      </w:r>
    </w:p>
    <w:p w14:paraId="5E26F5D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color w:val="auto"/>
          <w:kern w:val="0"/>
          <w:sz w:val="24"/>
          <w:szCs w:val="24"/>
          <w:highlight w:val="none"/>
        </w:rPr>
      </w:pPr>
      <w:r>
        <w:rPr>
          <w:rStyle w:val="28"/>
          <w:rFonts w:hint="eastAsia" w:ascii="宋体" w:hAnsi="宋体" w:eastAsia="宋体" w:cs="宋体"/>
          <w:color w:val="auto"/>
          <w:kern w:val="0"/>
          <w:sz w:val="24"/>
          <w:szCs w:val="24"/>
          <w:highlight w:val="none"/>
          <w:lang w:val="en-US" w:eastAsia="zh-CN"/>
        </w:rPr>
        <w:t>4</w:t>
      </w:r>
      <w:r>
        <w:rPr>
          <w:rStyle w:val="28"/>
          <w:rFonts w:hint="eastAsia" w:ascii="宋体" w:hAnsi="宋体" w:eastAsia="宋体" w:cs="宋体"/>
          <w:color w:val="auto"/>
          <w:kern w:val="0"/>
          <w:sz w:val="24"/>
          <w:szCs w:val="24"/>
          <w:highlight w:val="none"/>
        </w:rPr>
        <w:t>.报价费用说明：</w:t>
      </w:r>
    </w:p>
    <w:p w14:paraId="67DAF4A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color w:val="auto"/>
          <w:kern w:val="0"/>
          <w:sz w:val="24"/>
          <w:szCs w:val="24"/>
          <w:highlight w:val="none"/>
        </w:rPr>
      </w:pPr>
      <w:r>
        <w:rPr>
          <w:rStyle w:val="28"/>
          <w:rFonts w:hint="eastAsia" w:ascii="宋体" w:hAnsi="宋体" w:eastAsia="宋体" w:cs="宋体"/>
          <w:color w:val="auto"/>
          <w:kern w:val="0"/>
          <w:sz w:val="24"/>
          <w:szCs w:val="24"/>
          <w:highlight w:val="none"/>
          <w:lang w:eastAsia="zh-CN"/>
        </w:rPr>
        <w:t>（</w:t>
      </w:r>
      <w:r>
        <w:rPr>
          <w:rStyle w:val="28"/>
          <w:rFonts w:hint="eastAsia" w:ascii="宋体" w:hAnsi="宋体" w:eastAsia="宋体" w:cs="宋体"/>
          <w:color w:val="auto"/>
          <w:kern w:val="0"/>
          <w:sz w:val="24"/>
          <w:szCs w:val="24"/>
          <w:highlight w:val="none"/>
          <w:lang w:val="en-US" w:eastAsia="zh-CN"/>
        </w:rPr>
        <w:t>1</w:t>
      </w:r>
      <w:r>
        <w:rPr>
          <w:rStyle w:val="28"/>
          <w:rFonts w:hint="eastAsia" w:ascii="宋体" w:hAnsi="宋体" w:eastAsia="宋体" w:cs="宋体"/>
          <w:color w:val="auto"/>
          <w:kern w:val="0"/>
          <w:sz w:val="24"/>
          <w:szCs w:val="24"/>
          <w:highlight w:val="none"/>
          <w:lang w:eastAsia="zh-CN"/>
        </w:rPr>
        <w:t>）</w:t>
      </w:r>
      <w:r>
        <w:rPr>
          <w:rStyle w:val="28"/>
          <w:rFonts w:hint="eastAsia" w:ascii="宋体" w:hAnsi="宋体" w:eastAsia="宋体" w:cs="宋体"/>
          <w:color w:val="auto"/>
          <w:kern w:val="0"/>
          <w:sz w:val="24"/>
          <w:szCs w:val="24"/>
          <w:highlight w:val="none"/>
        </w:rPr>
        <w:t>本项目采取固定单价报价，各投标人每项的分项综合单价报价与分项最高限价相比的下浮率必须一致。</w:t>
      </w:r>
    </w:p>
    <w:p w14:paraId="7BF64D3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color w:val="auto"/>
          <w:kern w:val="0"/>
          <w:sz w:val="24"/>
          <w:szCs w:val="24"/>
          <w:highlight w:val="none"/>
        </w:rPr>
      </w:pPr>
      <w:r>
        <w:rPr>
          <w:rStyle w:val="28"/>
          <w:rFonts w:hint="eastAsia" w:ascii="宋体" w:hAnsi="宋体" w:eastAsia="宋体" w:cs="宋体"/>
          <w:color w:val="auto"/>
          <w:kern w:val="0"/>
          <w:sz w:val="24"/>
          <w:szCs w:val="24"/>
          <w:highlight w:val="none"/>
        </w:rPr>
        <w:t>（</w:t>
      </w:r>
      <w:r>
        <w:rPr>
          <w:rStyle w:val="28"/>
          <w:rFonts w:hint="eastAsia" w:ascii="宋体" w:hAnsi="宋体" w:eastAsia="宋体" w:cs="宋体"/>
          <w:color w:val="auto"/>
          <w:kern w:val="0"/>
          <w:sz w:val="24"/>
          <w:szCs w:val="24"/>
          <w:highlight w:val="none"/>
          <w:lang w:val="en-US" w:eastAsia="zh-CN"/>
        </w:rPr>
        <w:t>2</w:t>
      </w:r>
      <w:r>
        <w:rPr>
          <w:rStyle w:val="28"/>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ECB4EB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color w:val="auto"/>
          <w:kern w:val="0"/>
          <w:sz w:val="24"/>
          <w:szCs w:val="24"/>
          <w:highlight w:val="none"/>
        </w:rPr>
      </w:pPr>
      <w:r>
        <w:rPr>
          <w:rStyle w:val="28"/>
          <w:rFonts w:hint="eastAsia" w:ascii="宋体" w:hAnsi="宋体" w:eastAsia="宋体" w:cs="宋体"/>
          <w:color w:val="auto"/>
          <w:kern w:val="0"/>
          <w:sz w:val="24"/>
          <w:szCs w:val="24"/>
          <w:highlight w:val="none"/>
        </w:rPr>
        <w:t>（</w:t>
      </w:r>
      <w:r>
        <w:rPr>
          <w:rStyle w:val="28"/>
          <w:rFonts w:hint="eastAsia" w:ascii="宋体" w:hAnsi="宋体" w:eastAsia="宋体" w:cs="宋体"/>
          <w:color w:val="auto"/>
          <w:kern w:val="0"/>
          <w:sz w:val="24"/>
          <w:szCs w:val="24"/>
          <w:highlight w:val="none"/>
          <w:lang w:val="en-US" w:eastAsia="zh-CN"/>
        </w:rPr>
        <w:t>3</w:t>
      </w:r>
      <w:r>
        <w:rPr>
          <w:rStyle w:val="28"/>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12A123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28"/>
          <w:rFonts w:hint="eastAsia" w:ascii="宋体" w:hAnsi="宋体" w:eastAsia="宋体" w:cs="宋体"/>
          <w:kern w:val="0"/>
          <w:sz w:val="24"/>
          <w:szCs w:val="24"/>
          <w:highlight w:val="none"/>
          <w:lang w:val="en-US" w:eastAsia="zh-CN"/>
        </w:rPr>
        <w:t>。</w:t>
      </w:r>
    </w:p>
    <w:p w14:paraId="52967B6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kern w:val="0"/>
          <w:sz w:val="24"/>
          <w:szCs w:val="24"/>
          <w:highlight w:val="none"/>
          <w:lang w:val="en-US" w:eastAsia="zh-CN"/>
        </w:rPr>
      </w:pPr>
      <w:r>
        <w:rPr>
          <w:rStyle w:val="28"/>
          <w:rFonts w:hint="eastAsia" w:ascii="宋体" w:hAnsi="宋体" w:eastAsia="宋体" w:cs="宋体"/>
          <w:kern w:val="0"/>
          <w:sz w:val="24"/>
          <w:szCs w:val="24"/>
          <w:highlight w:val="none"/>
          <w:lang w:val="en-US" w:eastAsia="zh-CN"/>
        </w:rPr>
        <w:t>5</w:t>
      </w:r>
      <w:r>
        <w:rPr>
          <w:rStyle w:val="28"/>
          <w:rFonts w:hint="eastAsia" w:ascii="宋体" w:hAnsi="宋体" w:eastAsia="宋体" w:cs="宋体"/>
          <w:kern w:val="0"/>
          <w:sz w:val="24"/>
          <w:szCs w:val="24"/>
          <w:highlight w:val="none"/>
        </w:rPr>
        <w:t>.</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w:t>
      </w:r>
      <w:r>
        <w:rPr>
          <w:rFonts w:hint="eastAsia" w:ascii="宋体" w:hAnsi="宋体" w:eastAsia="宋体" w:cs="宋体"/>
          <w:sz w:val="24"/>
          <w:szCs w:val="24"/>
          <w:highlight w:val="none"/>
        </w:rPr>
        <w:t>所有报价单必须加盖报价</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lang w:eastAsia="zh-CN"/>
        </w:rPr>
        <w:t>。</w:t>
      </w:r>
    </w:p>
    <w:p w14:paraId="01AA635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kern w:val="0"/>
          <w:sz w:val="24"/>
          <w:szCs w:val="24"/>
          <w:highlight w:val="none"/>
          <w:lang w:val="en-US" w:eastAsia="zh-CN"/>
        </w:rPr>
      </w:pPr>
      <w:r>
        <w:rPr>
          <w:rStyle w:val="28"/>
          <w:rFonts w:hint="eastAsia" w:ascii="宋体" w:hAnsi="宋体" w:eastAsia="宋体" w:cs="宋体"/>
          <w:kern w:val="0"/>
          <w:sz w:val="24"/>
          <w:szCs w:val="24"/>
          <w:highlight w:val="none"/>
          <w:lang w:val="en-US" w:eastAsia="zh-CN"/>
        </w:rPr>
        <w:t>6</w:t>
      </w:r>
      <w:r>
        <w:rPr>
          <w:rStyle w:val="28"/>
          <w:rFonts w:hint="eastAsia" w:ascii="宋体" w:hAnsi="宋体" w:eastAsia="宋体" w:cs="宋体"/>
          <w:kern w:val="0"/>
          <w:sz w:val="24"/>
          <w:szCs w:val="24"/>
          <w:highlight w:val="none"/>
        </w:rPr>
        <w:t>.拟定支付方式及期限：银行转账，按启东市自来水厂有限公司财务规定的方式支付。本次采购量为预估量，最终结算按每次实际采购量计，每次供货完毕并经验收合格后，买方通知并收到卖方相应的增值税专用发票后30天内支付该批订单的90%货款，合同期内所供货物的余款10%于合同期结束满</w:t>
      </w:r>
      <w:r>
        <w:rPr>
          <w:rStyle w:val="28"/>
          <w:rFonts w:hint="eastAsia" w:ascii="宋体" w:hAnsi="宋体" w:eastAsia="宋体" w:cs="宋体"/>
          <w:kern w:val="0"/>
          <w:sz w:val="24"/>
          <w:szCs w:val="24"/>
          <w:highlight w:val="none"/>
          <w:lang w:val="en-US" w:eastAsia="zh-CN"/>
        </w:rPr>
        <w:t>1</w:t>
      </w:r>
      <w:r>
        <w:rPr>
          <w:rStyle w:val="28"/>
          <w:rFonts w:hint="eastAsia" w:ascii="宋体" w:hAnsi="宋体" w:eastAsia="宋体" w:cs="宋体"/>
          <w:kern w:val="0"/>
          <w:sz w:val="24"/>
          <w:szCs w:val="24"/>
          <w:highlight w:val="none"/>
        </w:rPr>
        <w:t>年后，经采购单位认可后一次性结清。</w:t>
      </w:r>
    </w:p>
    <w:p w14:paraId="3B0E780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sz w:val="24"/>
          <w:szCs w:val="24"/>
          <w:highlight w:val="none"/>
        </w:rPr>
      </w:pPr>
      <w:r>
        <w:rPr>
          <w:rStyle w:val="28"/>
          <w:rFonts w:hint="eastAsia" w:ascii="宋体" w:hAnsi="宋体" w:eastAsia="宋体" w:cs="宋体"/>
          <w:kern w:val="0"/>
          <w:sz w:val="24"/>
          <w:szCs w:val="24"/>
          <w:highlight w:val="none"/>
          <w:lang w:val="en-US" w:eastAsia="zh-CN"/>
        </w:rPr>
        <w:t>7</w:t>
      </w:r>
      <w:r>
        <w:rPr>
          <w:rStyle w:val="28"/>
          <w:rFonts w:hint="eastAsia" w:ascii="宋体" w:hAnsi="宋体" w:eastAsia="宋体" w:cs="宋体"/>
          <w:kern w:val="0"/>
          <w:sz w:val="24"/>
          <w:szCs w:val="24"/>
          <w:highlight w:val="none"/>
        </w:rPr>
        <w:t>.其他：</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lang w:val="en-US" w:eastAsia="zh-CN"/>
        </w:rPr>
        <w:t>1</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rPr>
        <w:t>请报价单位认真核算、如实报价，如发现虚假报价的，该单位今后将</w:t>
      </w:r>
      <w:r>
        <w:rPr>
          <w:rStyle w:val="28"/>
          <w:rFonts w:hint="eastAsia" w:ascii="宋体" w:hAnsi="宋体" w:eastAsia="宋体" w:cs="宋体"/>
          <w:kern w:val="0"/>
          <w:sz w:val="24"/>
          <w:szCs w:val="24"/>
          <w:highlight w:val="none"/>
          <w:lang w:val="en-US" w:eastAsia="zh-CN"/>
        </w:rPr>
        <w:t>记入</w:t>
      </w:r>
      <w:r>
        <w:rPr>
          <w:rStyle w:val="28"/>
          <w:rFonts w:hint="eastAsia" w:ascii="宋体" w:hAnsi="宋体" w:eastAsia="宋体" w:cs="宋体"/>
          <w:kern w:val="0"/>
          <w:sz w:val="24"/>
          <w:szCs w:val="24"/>
          <w:highlight w:val="none"/>
        </w:rPr>
        <w:t>采购</w:t>
      </w:r>
      <w:r>
        <w:rPr>
          <w:rStyle w:val="28"/>
          <w:rFonts w:hint="eastAsia" w:ascii="宋体" w:hAnsi="宋体" w:eastAsia="宋体" w:cs="宋体"/>
          <w:kern w:val="0"/>
          <w:sz w:val="24"/>
          <w:szCs w:val="24"/>
          <w:highlight w:val="none"/>
          <w:lang w:val="en-US" w:eastAsia="zh-CN"/>
        </w:rPr>
        <w:t>人招标市场的黑名单</w:t>
      </w:r>
      <w:r>
        <w:rPr>
          <w:rStyle w:val="28"/>
          <w:rFonts w:hint="eastAsia" w:ascii="宋体" w:hAnsi="宋体" w:eastAsia="宋体" w:cs="宋体"/>
          <w:kern w:val="0"/>
          <w:sz w:val="24"/>
          <w:szCs w:val="24"/>
          <w:highlight w:val="none"/>
        </w:rPr>
        <w:t>；</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lang w:val="en-US" w:eastAsia="zh-CN"/>
        </w:rPr>
        <w:t>2</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rPr>
        <w:t>本次报价仅作为市场调研用，因此价格仅供参考；</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lang w:val="en-US" w:eastAsia="zh-CN"/>
        </w:rPr>
        <w:t>3</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rPr>
        <w:t>本次调研询价不接收质疑函，只接收对本项目的建议。</w:t>
      </w: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28"/>
          <w:rFonts w:hint="eastAsia" w:ascii="宋体" w:hAnsi="宋体" w:eastAsia="宋体" w:cs="宋体"/>
          <w:kern w:val="0"/>
          <w:sz w:val="24"/>
          <w:szCs w:val="24"/>
          <w:highlight w:val="none"/>
          <w:lang w:val="en-US" w:eastAsia="zh-CN" w:bidi="ar-SA"/>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28"/>
          <w:rFonts w:hint="eastAsia" w:ascii="宋体" w:hAnsi="宋体" w:eastAsia="宋体" w:cs="宋体"/>
          <w:kern w:val="0"/>
          <w:sz w:val="24"/>
          <w:szCs w:val="24"/>
          <w:highlight w:val="yellow"/>
          <w:lang w:val="en-US" w:eastAsia="zh-CN" w:bidi="ar-SA"/>
        </w:rPr>
      </w:pPr>
      <w:r>
        <w:rPr>
          <w:rStyle w:val="28"/>
          <w:rFonts w:hint="eastAsia" w:ascii="宋体" w:hAnsi="宋体" w:eastAsia="宋体" w:cs="宋体"/>
          <w:kern w:val="0"/>
          <w:sz w:val="24"/>
          <w:szCs w:val="24"/>
          <w:highlight w:val="yellow"/>
          <w:lang w:val="en-US" w:eastAsia="zh-CN" w:bidi="ar-SA"/>
        </w:rPr>
        <w:t>2025年2月24</w:t>
      </w:r>
      <w:bookmarkStart w:id="0" w:name="_GoBack"/>
      <w:bookmarkEnd w:id="0"/>
      <w:r>
        <w:rPr>
          <w:rStyle w:val="28"/>
          <w:rFonts w:hint="eastAsia" w:ascii="宋体" w:hAnsi="宋体" w:eastAsia="宋体" w:cs="宋体"/>
          <w:kern w:val="0"/>
          <w:sz w:val="24"/>
          <w:szCs w:val="24"/>
          <w:highlight w:val="yellow"/>
          <w:lang w:val="en-US" w:eastAsia="zh-CN" w:bidi="ar-SA"/>
        </w:rPr>
        <w:t>日</w:t>
      </w:r>
    </w:p>
    <w:p w14:paraId="10B6DC4A">
      <w:pPr>
        <w:rPr>
          <w:rFonts w:hint="default" w:ascii="宋体" w:hAnsi="宋体" w:eastAsia="宋体" w:cs="宋体"/>
          <w:b/>
          <w:color w:val="auto"/>
          <w:kern w:val="0"/>
          <w:sz w:val="28"/>
          <w:szCs w:val="28"/>
          <w:highlight w:val="none"/>
          <w:lang w:val="en-US" w:eastAsia="zh-CN"/>
        </w:rPr>
      </w:pPr>
    </w:p>
    <w:p w14:paraId="22F64D54">
      <w:pPr>
        <w:pStyle w:val="2"/>
        <w:rPr>
          <w:rFonts w:hint="default" w:ascii="宋体" w:hAnsi="宋体" w:eastAsia="宋体" w:cs="宋体"/>
          <w:b/>
          <w:color w:val="auto"/>
          <w:kern w:val="0"/>
          <w:sz w:val="28"/>
          <w:szCs w:val="28"/>
          <w:highlight w:val="none"/>
          <w:lang w:val="en-US" w:eastAsia="zh-CN"/>
        </w:rPr>
      </w:pPr>
    </w:p>
    <w:p w14:paraId="5E709A90">
      <w:pPr>
        <w:rPr>
          <w:rFonts w:hint="default" w:ascii="宋体" w:hAnsi="宋体" w:eastAsia="宋体" w:cs="宋体"/>
          <w:b/>
          <w:color w:val="auto"/>
          <w:kern w:val="0"/>
          <w:sz w:val="28"/>
          <w:szCs w:val="28"/>
          <w:highlight w:val="none"/>
          <w:lang w:val="en-US" w:eastAsia="zh-CN"/>
        </w:rPr>
      </w:pPr>
    </w:p>
    <w:p w14:paraId="6EC3AB09">
      <w:pPr>
        <w:pStyle w:val="2"/>
        <w:rPr>
          <w:rFonts w:hint="default" w:ascii="宋体" w:hAnsi="宋体" w:eastAsia="宋体" w:cs="宋体"/>
          <w:b/>
          <w:color w:val="auto"/>
          <w:kern w:val="0"/>
          <w:sz w:val="28"/>
          <w:szCs w:val="28"/>
          <w:highlight w:val="none"/>
          <w:lang w:val="en-US" w:eastAsia="zh-CN"/>
        </w:rPr>
      </w:pPr>
    </w:p>
    <w:p w14:paraId="574FCDE5">
      <w:pPr>
        <w:rPr>
          <w:rFonts w:hint="default" w:ascii="宋体" w:hAnsi="宋体" w:eastAsia="宋体" w:cs="宋体"/>
          <w:b/>
          <w:color w:val="auto"/>
          <w:kern w:val="0"/>
          <w:sz w:val="28"/>
          <w:szCs w:val="28"/>
          <w:highlight w:val="none"/>
          <w:lang w:val="en-US" w:eastAsia="zh-CN"/>
        </w:rPr>
      </w:pPr>
    </w:p>
    <w:p w14:paraId="4D003E8C">
      <w:pPr>
        <w:pStyle w:val="2"/>
        <w:rPr>
          <w:rFonts w:hint="default" w:ascii="宋体" w:hAnsi="宋体" w:eastAsia="宋体" w:cs="宋体"/>
          <w:b/>
          <w:color w:val="auto"/>
          <w:kern w:val="0"/>
          <w:sz w:val="28"/>
          <w:szCs w:val="28"/>
          <w:highlight w:val="none"/>
          <w:lang w:val="en-US" w:eastAsia="zh-CN"/>
        </w:rPr>
      </w:pPr>
    </w:p>
    <w:p w14:paraId="62005667">
      <w:pPr>
        <w:rPr>
          <w:rFonts w:hint="default" w:ascii="宋体" w:hAnsi="宋体" w:eastAsia="宋体" w:cs="宋体"/>
          <w:b/>
          <w:color w:val="auto"/>
          <w:kern w:val="0"/>
          <w:sz w:val="28"/>
          <w:szCs w:val="28"/>
          <w:highlight w:val="none"/>
          <w:lang w:val="en-US" w:eastAsia="zh-CN"/>
        </w:rPr>
      </w:pPr>
    </w:p>
    <w:p w14:paraId="092F796F">
      <w:pPr>
        <w:pStyle w:val="2"/>
        <w:rPr>
          <w:rFonts w:hint="default" w:ascii="宋体" w:hAnsi="宋体" w:eastAsia="宋体" w:cs="宋体"/>
          <w:b/>
          <w:color w:val="auto"/>
          <w:kern w:val="0"/>
          <w:sz w:val="28"/>
          <w:szCs w:val="28"/>
          <w:highlight w:val="none"/>
          <w:lang w:val="en-US" w:eastAsia="zh-CN"/>
        </w:rPr>
      </w:pPr>
    </w:p>
    <w:p w14:paraId="0C3396C6">
      <w:pPr>
        <w:rPr>
          <w:rFonts w:hint="default" w:ascii="宋体" w:hAnsi="宋体" w:eastAsia="宋体" w:cs="宋体"/>
          <w:b/>
          <w:color w:val="auto"/>
          <w:kern w:val="0"/>
          <w:sz w:val="28"/>
          <w:szCs w:val="28"/>
          <w:highlight w:val="none"/>
          <w:lang w:val="en-US" w:eastAsia="zh-CN"/>
        </w:rPr>
      </w:pPr>
    </w:p>
    <w:p w14:paraId="259E000B">
      <w:pPr>
        <w:pStyle w:val="2"/>
        <w:rPr>
          <w:rFonts w:hint="default" w:ascii="宋体" w:hAnsi="宋体" w:eastAsia="宋体" w:cs="宋体"/>
          <w:b/>
          <w:color w:val="auto"/>
          <w:kern w:val="0"/>
          <w:sz w:val="28"/>
          <w:szCs w:val="28"/>
          <w:highlight w:val="none"/>
          <w:lang w:val="en-US" w:eastAsia="zh-CN"/>
        </w:rPr>
      </w:pPr>
    </w:p>
    <w:p w14:paraId="438E3F50">
      <w:pPr>
        <w:rPr>
          <w:rFonts w:hint="default" w:ascii="宋体" w:hAnsi="宋体" w:eastAsia="宋体" w:cs="宋体"/>
          <w:b/>
          <w:color w:val="auto"/>
          <w:kern w:val="0"/>
          <w:sz w:val="28"/>
          <w:szCs w:val="28"/>
          <w:highlight w:val="none"/>
          <w:lang w:val="en-US" w:eastAsia="zh-CN"/>
        </w:rPr>
      </w:pPr>
    </w:p>
    <w:p w14:paraId="5E6AE8F9">
      <w:pPr>
        <w:pStyle w:val="2"/>
        <w:rPr>
          <w:rFonts w:hint="eastAsia" w:ascii="宋体" w:hAnsi="宋体" w:cs="宋体"/>
          <w:b/>
          <w:color w:val="auto"/>
          <w:kern w:val="0"/>
          <w:sz w:val="28"/>
          <w:szCs w:val="28"/>
          <w:highlight w:val="none"/>
          <w:lang w:val="en-US" w:eastAsia="zh-CN"/>
        </w:rPr>
      </w:pPr>
    </w:p>
    <w:p w14:paraId="57F66EAB">
      <w:pPr>
        <w:pStyle w:val="2"/>
        <w:rPr>
          <w:rFonts w:hint="eastAsia" w:ascii="宋体" w:hAnsi="宋体" w:cs="宋体"/>
          <w:b/>
          <w:color w:val="auto"/>
          <w:kern w:val="0"/>
          <w:sz w:val="28"/>
          <w:szCs w:val="28"/>
          <w:highlight w:val="none"/>
          <w:lang w:val="en-US" w:eastAsia="zh-CN"/>
        </w:rPr>
      </w:pPr>
    </w:p>
    <w:p w14:paraId="495CB2D1">
      <w:pPr>
        <w:pStyle w:val="2"/>
        <w:rPr>
          <w:rFonts w:hint="eastAsia" w:ascii="宋体" w:hAnsi="宋体" w:cs="宋体"/>
          <w:b/>
          <w:color w:val="auto"/>
          <w:kern w:val="0"/>
          <w:sz w:val="28"/>
          <w:szCs w:val="28"/>
          <w:highlight w:val="none"/>
          <w:lang w:val="en-US" w:eastAsia="zh-CN"/>
        </w:rPr>
      </w:pPr>
    </w:p>
    <w:p w14:paraId="71C2E0F0">
      <w:pPr>
        <w:pStyle w:val="2"/>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tbl>
      <w:tblPr>
        <w:tblStyle w:val="17"/>
        <w:tblW w:w="0" w:type="auto"/>
        <w:tblInd w:w="-2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3"/>
        <w:gridCol w:w="172"/>
        <w:gridCol w:w="1941"/>
        <w:gridCol w:w="264"/>
        <w:gridCol w:w="224"/>
        <w:gridCol w:w="706"/>
        <w:gridCol w:w="870"/>
        <w:gridCol w:w="825"/>
        <w:gridCol w:w="1605"/>
        <w:gridCol w:w="1696"/>
        <w:gridCol w:w="1566"/>
      </w:tblGrid>
      <w:tr w14:paraId="03BC4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192" w:type="dxa"/>
            <w:gridSpan w:val="11"/>
            <w:tcBorders>
              <w:top w:val="nil"/>
              <w:left w:val="nil"/>
              <w:bottom w:val="nil"/>
              <w:right w:val="nil"/>
            </w:tcBorders>
            <w:shd w:val="clear" w:color="auto" w:fill="auto"/>
            <w:vAlign w:val="center"/>
          </w:tcPr>
          <w:p w14:paraId="707E48A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启东市自来水厂有限公司                                                         倒流防止器2025-2027年度采购项目询价表</w:t>
            </w:r>
          </w:p>
        </w:tc>
      </w:tr>
      <w:tr w14:paraId="7703A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F1A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0D8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材料名称</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1391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08E5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计量单位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AAAC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预估用量</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A27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 价        （元/只）</w:t>
            </w: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56A6A59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               （元）</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53F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  注</w:t>
            </w:r>
          </w:p>
        </w:tc>
      </w:tr>
      <w:tr w14:paraId="6488F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4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B47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低阻力倒流防止器</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119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EB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BD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D754">
            <w:pPr>
              <w:rPr>
                <w:rFonts w:hint="eastAsia" w:ascii="宋体" w:hAnsi="宋体" w:eastAsia="宋体" w:cs="宋体"/>
                <w:i w:val="0"/>
                <w:iCs w:val="0"/>
                <w:color w:val="000000"/>
                <w:sz w:val="22"/>
                <w:szCs w:val="22"/>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4BB8BE">
            <w:pPr>
              <w:rPr>
                <w:rFonts w:hint="eastAsia" w:ascii="宋体" w:hAnsi="宋体" w:eastAsia="宋体" w:cs="宋体"/>
                <w:b/>
                <w:bCs/>
                <w:i w:val="0"/>
                <w:iCs w:val="0"/>
                <w:color w:val="000000"/>
                <w:sz w:val="22"/>
                <w:szCs w:val="22"/>
                <w:u w:val="none"/>
              </w:rPr>
            </w:pPr>
          </w:p>
        </w:tc>
        <w:tc>
          <w:tcPr>
            <w:tcW w:w="1566" w:type="dxa"/>
            <w:vMerge w:val="restart"/>
            <w:tcBorders>
              <w:top w:val="single" w:color="000000" w:sz="4" w:space="0"/>
              <w:left w:val="single" w:color="000000" w:sz="4" w:space="0"/>
              <w:bottom w:val="nil"/>
              <w:right w:val="single" w:color="000000" w:sz="4" w:space="0"/>
            </w:tcBorders>
            <w:shd w:val="clear" w:color="auto" w:fill="auto"/>
            <w:vAlign w:val="center"/>
          </w:tcPr>
          <w:p w14:paraId="7728F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0BA6D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D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2D8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低阻力倒流防止器</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286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F7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D6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D46B">
            <w:pPr>
              <w:rPr>
                <w:rFonts w:hint="eastAsia" w:ascii="宋体" w:hAnsi="宋体" w:eastAsia="宋体" w:cs="宋体"/>
                <w:i w:val="0"/>
                <w:iCs w:val="0"/>
                <w:color w:val="000000"/>
                <w:sz w:val="22"/>
                <w:szCs w:val="22"/>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4B3E4">
            <w:pPr>
              <w:rPr>
                <w:rFonts w:hint="eastAsia" w:ascii="宋体" w:hAnsi="宋体" w:eastAsia="宋体" w:cs="宋体"/>
                <w:i w:val="0"/>
                <w:iCs w:val="0"/>
                <w:color w:val="000000"/>
                <w:sz w:val="22"/>
                <w:szCs w:val="22"/>
                <w:u w:val="none"/>
              </w:rPr>
            </w:pPr>
          </w:p>
        </w:tc>
        <w:tc>
          <w:tcPr>
            <w:tcW w:w="1566" w:type="dxa"/>
            <w:vMerge w:val="continue"/>
            <w:tcBorders>
              <w:top w:val="single" w:color="000000" w:sz="4" w:space="0"/>
              <w:left w:val="single" w:color="000000" w:sz="4" w:space="0"/>
              <w:bottom w:val="nil"/>
              <w:right w:val="single" w:color="000000" w:sz="4" w:space="0"/>
            </w:tcBorders>
            <w:shd w:val="clear" w:color="auto" w:fill="auto"/>
            <w:vAlign w:val="center"/>
          </w:tcPr>
          <w:p w14:paraId="6E69ED93">
            <w:pPr>
              <w:jc w:val="center"/>
              <w:rPr>
                <w:rFonts w:hint="eastAsia" w:ascii="宋体" w:hAnsi="宋体" w:eastAsia="宋体" w:cs="宋体"/>
                <w:i w:val="0"/>
                <w:iCs w:val="0"/>
                <w:color w:val="000000"/>
                <w:sz w:val="22"/>
                <w:szCs w:val="22"/>
                <w:u w:val="none"/>
              </w:rPr>
            </w:pPr>
          </w:p>
        </w:tc>
      </w:tr>
      <w:tr w14:paraId="0E322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54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F3A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低阻力倒流防止器</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FCB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3D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8A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2F5E">
            <w:pPr>
              <w:rPr>
                <w:rFonts w:hint="eastAsia" w:ascii="宋体" w:hAnsi="宋体" w:eastAsia="宋体" w:cs="宋体"/>
                <w:i w:val="0"/>
                <w:iCs w:val="0"/>
                <w:color w:val="000000"/>
                <w:sz w:val="22"/>
                <w:szCs w:val="22"/>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F61FD">
            <w:pPr>
              <w:rPr>
                <w:rFonts w:hint="eastAsia" w:ascii="宋体" w:hAnsi="宋体" w:eastAsia="宋体" w:cs="宋体"/>
                <w:i w:val="0"/>
                <w:iCs w:val="0"/>
                <w:color w:val="000000"/>
                <w:sz w:val="22"/>
                <w:szCs w:val="22"/>
                <w:u w:val="none"/>
              </w:rPr>
            </w:pPr>
          </w:p>
        </w:tc>
        <w:tc>
          <w:tcPr>
            <w:tcW w:w="1566" w:type="dxa"/>
            <w:vMerge w:val="continue"/>
            <w:tcBorders>
              <w:top w:val="single" w:color="000000" w:sz="4" w:space="0"/>
              <w:left w:val="single" w:color="000000" w:sz="4" w:space="0"/>
              <w:bottom w:val="nil"/>
              <w:right w:val="single" w:color="000000" w:sz="4" w:space="0"/>
            </w:tcBorders>
            <w:shd w:val="clear" w:color="auto" w:fill="auto"/>
            <w:vAlign w:val="center"/>
          </w:tcPr>
          <w:p w14:paraId="55A47F56">
            <w:pPr>
              <w:jc w:val="center"/>
              <w:rPr>
                <w:rFonts w:hint="eastAsia" w:ascii="宋体" w:hAnsi="宋体" w:eastAsia="宋体" w:cs="宋体"/>
                <w:i w:val="0"/>
                <w:iCs w:val="0"/>
                <w:color w:val="000000"/>
                <w:sz w:val="22"/>
                <w:szCs w:val="22"/>
                <w:u w:val="none"/>
              </w:rPr>
            </w:pPr>
          </w:p>
        </w:tc>
      </w:tr>
      <w:tr w14:paraId="42F03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A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A35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低阻力倒流防止器</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F65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90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9C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403F">
            <w:pPr>
              <w:rPr>
                <w:rFonts w:hint="eastAsia" w:ascii="宋体" w:hAnsi="宋体" w:eastAsia="宋体" w:cs="宋体"/>
                <w:i w:val="0"/>
                <w:iCs w:val="0"/>
                <w:color w:val="000000"/>
                <w:sz w:val="22"/>
                <w:szCs w:val="22"/>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EE9F9">
            <w:pPr>
              <w:rPr>
                <w:rFonts w:hint="eastAsia" w:ascii="宋体" w:hAnsi="宋体" w:eastAsia="宋体" w:cs="宋体"/>
                <w:i w:val="0"/>
                <w:iCs w:val="0"/>
                <w:color w:val="000000"/>
                <w:sz w:val="22"/>
                <w:szCs w:val="22"/>
                <w:u w:val="none"/>
              </w:rPr>
            </w:pPr>
          </w:p>
        </w:tc>
        <w:tc>
          <w:tcPr>
            <w:tcW w:w="1566" w:type="dxa"/>
            <w:vMerge w:val="continue"/>
            <w:tcBorders>
              <w:top w:val="single" w:color="000000" w:sz="4" w:space="0"/>
              <w:left w:val="single" w:color="000000" w:sz="4" w:space="0"/>
              <w:bottom w:val="nil"/>
              <w:right w:val="single" w:color="000000" w:sz="4" w:space="0"/>
            </w:tcBorders>
            <w:shd w:val="clear" w:color="auto" w:fill="auto"/>
            <w:vAlign w:val="center"/>
          </w:tcPr>
          <w:p w14:paraId="56820838">
            <w:pPr>
              <w:jc w:val="center"/>
              <w:rPr>
                <w:rFonts w:hint="eastAsia" w:ascii="宋体" w:hAnsi="宋体" w:eastAsia="宋体" w:cs="宋体"/>
                <w:i w:val="0"/>
                <w:iCs w:val="0"/>
                <w:color w:val="000000"/>
                <w:sz w:val="22"/>
                <w:szCs w:val="22"/>
                <w:u w:val="none"/>
              </w:rPr>
            </w:pPr>
          </w:p>
        </w:tc>
      </w:tr>
      <w:tr w14:paraId="43195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93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C65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低阻力倒流防止器</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0D6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25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F3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F43D9">
            <w:pPr>
              <w:rPr>
                <w:rFonts w:hint="eastAsia" w:ascii="宋体" w:hAnsi="宋体" w:eastAsia="宋体" w:cs="宋体"/>
                <w:i w:val="0"/>
                <w:iCs w:val="0"/>
                <w:color w:val="000000"/>
                <w:sz w:val="22"/>
                <w:szCs w:val="22"/>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53489">
            <w:pPr>
              <w:rPr>
                <w:rFonts w:hint="eastAsia" w:ascii="宋体" w:hAnsi="宋体" w:eastAsia="宋体" w:cs="宋体"/>
                <w:i w:val="0"/>
                <w:iCs w:val="0"/>
                <w:color w:val="000000"/>
                <w:sz w:val="24"/>
                <w:szCs w:val="24"/>
                <w:u w:val="none"/>
              </w:rPr>
            </w:pPr>
          </w:p>
        </w:tc>
        <w:tc>
          <w:tcPr>
            <w:tcW w:w="1566" w:type="dxa"/>
            <w:vMerge w:val="continue"/>
            <w:tcBorders>
              <w:top w:val="single" w:color="000000" w:sz="4" w:space="0"/>
              <w:left w:val="single" w:color="000000" w:sz="4" w:space="0"/>
              <w:bottom w:val="nil"/>
              <w:right w:val="single" w:color="000000" w:sz="4" w:space="0"/>
            </w:tcBorders>
            <w:shd w:val="clear" w:color="auto" w:fill="auto"/>
            <w:vAlign w:val="center"/>
          </w:tcPr>
          <w:p w14:paraId="48B3F4D9">
            <w:pPr>
              <w:jc w:val="center"/>
              <w:rPr>
                <w:rFonts w:hint="eastAsia" w:ascii="宋体" w:hAnsi="宋体" w:eastAsia="宋体" w:cs="宋体"/>
                <w:i w:val="0"/>
                <w:iCs w:val="0"/>
                <w:color w:val="000000"/>
                <w:sz w:val="22"/>
                <w:szCs w:val="22"/>
                <w:u w:val="none"/>
              </w:rPr>
            </w:pPr>
          </w:p>
        </w:tc>
      </w:tr>
      <w:tr w14:paraId="5DB49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C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4C77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双止回阀倒流防止器</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27C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89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CB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F7DE">
            <w:pPr>
              <w:rPr>
                <w:rFonts w:hint="eastAsia" w:ascii="宋体" w:hAnsi="宋体" w:eastAsia="宋体" w:cs="宋体"/>
                <w:i w:val="0"/>
                <w:iCs w:val="0"/>
                <w:color w:val="000000"/>
                <w:sz w:val="22"/>
                <w:szCs w:val="22"/>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068D3">
            <w:pPr>
              <w:rPr>
                <w:rFonts w:hint="eastAsia" w:ascii="宋体" w:hAnsi="宋体" w:eastAsia="宋体" w:cs="宋体"/>
                <w:i w:val="0"/>
                <w:iCs w:val="0"/>
                <w:color w:val="000000"/>
                <w:sz w:val="24"/>
                <w:szCs w:val="24"/>
                <w:u w:val="none"/>
              </w:rPr>
            </w:pPr>
          </w:p>
        </w:tc>
        <w:tc>
          <w:tcPr>
            <w:tcW w:w="1566" w:type="dxa"/>
            <w:vMerge w:val="continue"/>
            <w:tcBorders>
              <w:top w:val="single" w:color="000000" w:sz="4" w:space="0"/>
              <w:left w:val="single" w:color="000000" w:sz="4" w:space="0"/>
              <w:bottom w:val="nil"/>
              <w:right w:val="single" w:color="000000" w:sz="4" w:space="0"/>
            </w:tcBorders>
            <w:shd w:val="clear" w:color="auto" w:fill="auto"/>
            <w:vAlign w:val="center"/>
          </w:tcPr>
          <w:p w14:paraId="28F6FD29">
            <w:pPr>
              <w:jc w:val="center"/>
              <w:rPr>
                <w:rFonts w:hint="eastAsia" w:ascii="宋体" w:hAnsi="宋体" w:eastAsia="宋体" w:cs="宋体"/>
                <w:i w:val="0"/>
                <w:iCs w:val="0"/>
                <w:color w:val="000000"/>
                <w:sz w:val="22"/>
                <w:szCs w:val="22"/>
                <w:u w:val="none"/>
              </w:rPr>
            </w:pPr>
          </w:p>
        </w:tc>
      </w:tr>
      <w:tr w14:paraId="625DE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F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EB1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双止回阀倒流防止器</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6CE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52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50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DEC7A">
            <w:pPr>
              <w:rPr>
                <w:rFonts w:hint="eastAsia" w:ascii="宋体" w:hAnsi="宋体" w:eastAsia="宋体" w:cs="宋体"/>
                <w:i w:val="0"/>
                <w:iCs w:val="0"/>
                <w:color w:val="000000"/>
                <w:sz w:val="22"/>
                <w:szCs w:val="22"/>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309BA">
            <w:pPr>
              <w:rPr>
                <w:rFonts w:hint="eastAsia" w:ascii="宋体" w:hAnsi="宋体" w:eastAsia="宋体" w:cs="宋体"/>
                <w:i w:val="0"/>
                <w:iCs w:val="0"/>
                <w:color w:val="000000"/>
                <w:sz w:val="24"/>
                <w:szCs w:val="24"/>
                <w:u w:val="none"/>
              </w:rPr>
            </w:pPr>
          </w:p>
        </w:tc>
        <w:tc>
          <w:tcPr>
            <w:tcW w:w="1566" w:type="dxa"/>
            <w:vMerge w:val="continue"/>
            <w:tcBorders>
              <w:top w:val="single" w:color="000000" w:sz="4" w:space="0"/>
              <w:left w:val="single" w:color="000000" w:sz="4" w:space="0"/>
              <w:bottom w:val="nil"/>
              <w:right w:val="single" w:color="000000" w:sz="4" w:space="0"/>
            </w:tcBorders>
            <w:shd w:val="clear" w:color="auto" w:fill="auto"/>
            <w:vAlign w:val="center"/>
          </w:tcPr>
          <w:p w14:paraId="6732BC42">
            <w:pPr>
              <w:jc w:val="center"/>
              <w:rPr>
                <w:rFonts w:hint="eastAsia" w:ascii="宋体" w:hAnsi="宋体" w:eastAsia="宋体" w:cs="宋体"/>
                <w:i w:val="0"/>
                <w:iCs w:val="0"/>
                <w:color w:val="000000"/>
                <w:sz w:val="22"/>
                <w:szCs w:val="22"/>
                <w:u w:val="none"/>
              </w:rPr>
            </w:pPr>
          </w:p>
        </w:tc>
      </w:tr>
      <w:tr w14:paraId="0D1EC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F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59A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双止回阀倒流防止器</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F77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9B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3C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F8DAF">
            <w:pPr>
              <w:rPr>
                <w:rFonts w:hint="eastAsia" w:ascii="宋体" w:hAnsi="宋体" w:eastAsia="宋体" w:cs="宋体"/>
                <w:i w:val="0"/>
                <w:iCs w:val="0"/>
                <w:color w:val="000000"/>
                <w:sz w:val="22"/>
                <w:szCs w:val="22"/>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9C8F1">
            <w:pPr>
              <w:rPr>
                <w:rFonts w:hint="eastAsia" w:ascii="宋体" w:hAnsi="宋体" w:eastAsia="宋体" w:cs="宋体"/>
                <w:i w:val="0"/>
                <w:iCs w:val="0"/>
                <w:color w:val="000000"/>
                <w:sz w:val="24"/>
                <w:szCs w:val="24"/>
                <w:u w:val="none"/>
              </w:rPr>
            </w:pPr>
          </w:p>
        </w:tc>
        <w:tc>
          <w:tcPr>
            <w:tcW w:w="1566" w:type="dxa"/>
            <w:vMerge w:val="continue"/>
            <w:tcBorders>
              <w:top w:val="single" w:color="000000" w:sz="4" w:space="0"/>
              <w:left w:val="single" w:color="000000" w:sz="4" w:space="0"/>
              <w:bottom w:val="nil"/>
              <w:right w:val="single" w:color="000000" w:sz="4" w:space="0"/>
            </w:tcBorders>
            <w:shd w:val="clear" w:color="auto" w:fill="auto"/>
            <w:vAlign w:val="center"/>
          </w:tcPr>
          <w:p w14:paraId="13216B37">
            <w:pPr>
              <w:jc w:val="center"/>
              <w:rPr>
                <w:rFonts w:hint="eastAsia" w:ascii="宋体" w:hAnsi="宋体" w:eastAsia="宋体" w:cs="宋体"/>
                <w:i w:val="0"/>
                <w:iCs w:val="0"/>
                <w:color w:val="000000"/>
                <w:sz w:val="22"/>
                <w:szCs w:val="22"/>
                <w:u w:val="none"/>
              </w:rPr>
            </w:pPr>
          </w:p>
        </w:tc>
      </w:tr>
      <w:tr w14:paraId="513A5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60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DB8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双止回阀倒流防止器</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E72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22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20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61AE4">
            <w:pPr>
              <w:rPr>
                <w:rFonts w:hint="eastAsia" w:ascii="宋体" w:hAnsi="宋体" w:eastAsia="宋体" w:cs="宋体"/>
                <w:i w:val="0"/>
                <w:iCs w:val="0"/>
                <w:color w:val="000000"/>
                <w:sz w:val="22"/>
                <w:szCs w:val="22"/>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5AAA2">
            <w:pPr>
              <w:rPr>
                <w:rFonts w:hint="eastAsia" w:ascii="宋体" w:hAnsi="宋体" w:eastAsia="宋体" w:cs="宋体"/>
                <w:i w:val="0"/>
                <w:iCs w:val="0"/>
                <w:color w:val="000000"/>
                <w:sz w:val="24"/>
                <w:szCs w:val="24"/>
                <w:u w:val="none"/>
              </w:rPr>
            </w:pPr>
          </w:p>
        </w:tc>
        <w:tc>
          <w:tcPr>
            <w:tcW w:w="1566" w:type="dxa"/>
            <w:vMerge w:val="continue"/>
            <w:tcBorders>
              <w:top w:val="single" w:color="000000" w:sz="4" w:space="0"/>
              <w:left w:val="single" w:color="000000" w:sz="4" w:space="0"/>
              <w:bottom w:val="nil"/>
              <w:right w:val="single" w:color="000000" w:sz="4" w:space="0"/>
            </w:tcBorders>
            <w:shd w:val="clear" w:color="auto" w:fill="auto"/>
            <w:vAlign w:val="center"/>
          </w:tcPr>
          <w:p w14:paraId="7936824B">
            <w:pPr>
              <w:jc w:val="center"/>
              <w:rPr>
                <w:rFonts w:hint="eastAsia" w:ascii="宋体" w:hAnsi="宋体" w:eastAsia="宋体" w:cs="宋体"/>
                <w:i w:val="0"/>
                <w:iCs w:val="0"/>
                <w:color w:val="000000"/>
                <w:sz w:val="22"/>
                <w:szCs w:val="22"/>
                <w:u w:val="none"/>
              </w:rPr>
            </w:pPr>
          </w:p>
        </w:tc>
      </w:tr>
      <w:tr w14:paraId="5585F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D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A66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双止回阀倒流防止器</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A5E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30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7ED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D4CE">
            <w:pPr>
              <w:rPr>
                <w:rFonts w:hint="eastAsia" w:ascii="宋体" w:hAnsi="宋体" w:eastAsia="宋体" w:cs="宋体"/>
                <w:i w:val="0"/>
                <w:iCs w:val="0"/>
                <w:color w:val="000000"/>
                <w:sz w:val="22"/>
                <w:szCs w:val="22"/>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ABDA">
            <w:pPr>
              <w:rPr>
                <w:rFonts w:hint="eastAsia" w:ascii="宋体" w:hAnsi="宋体" w:eastAsia="宋体" w:cs="宋体"/>
                <w:i w:val="0"/>
                <w:iCs w:val="0"/>
                <w:color w:val="000000"/>
                <w:sz w:val="24"/>
                <w:szCs w:val="24"/>
                <w:u w:val="none"/>
              </w:rPr>
            </w:pPr>
          </w:p>
        </w:tc>
        <w:tc>
          <w:tcPr>
            <w:tcW w:w="1566" w:type="dxa"/>
            <w:vMerge w:val="continue"/>
            <w:tcBorders>
              <w:top w:val="single" w:color="000000" w:sz="4" w:space="0"/>
              <w:left w:val="single" w:color="000000" w:sz="4" w:space="0"/>
              <w:bottom w:val="nil"/>
              <w:right w:val="single" w:color="000000" w:sz="4" w:space="0"/>
            </w:tcBorders>
            <w:shd w:val="clear" w:color="auto" w:fill="auto"/>
            <w:vAlign w:val="center"/>
          </w:tcPr>
          <w:p w14:paraId="5A1B702C">
            <w:pPr>
              <w:jc w:val="center"/>
              <w:rPr>
                <w:rFonts w:hint="eastAsia" w:ascii="宋体" w:hAnsi="宋体" w:eastAsia="宋体" w:cs="宋体"/>
                <w:i w:val="0"/>
                <w:iCs w:val="0"/>
                <w:color w:val="000000"/>
                <w:sz w:val="22"/>
                <w:szCs w:val="22"/>
                <w:u w:val="none"/>
              </w:rPr>
            </w:pPr>
          </w:p>
        </w:tc>
      </w:tr>
      <w:tr w14:paraId="0E9CC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63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8AB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    价（人民币元）</w:t>
            </w:r>
          </w:p>
        </w:tc>
        <w:tc>
          <w:tcPr>
            <w:tcW w:w="656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0AB8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大写：                      小写：</w:t>
            </w:r>
          </w:p>
        </w:tc>
      </w:tr>
      <w:tr w14:paraId="689B1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1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0E9B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注：</w:t>
            </w:r>
          </w:p>
          <w:p w14:paraId="115D237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一、供应商的资格要求</w:t>
            </w:r>
          </w:p>
          <w:p w14:paraId="7B6303C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1、符合《中华人民共和国政府采购法》第二十二条规定；</w:t>
            </w:r>
          </w:p>
          <w:p w14:paraId="5ECD80C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2、未被“信用中国”网站列入失信被执行人、重大税收违法案件当事人名单、政府采购严重失信行为记录名单；</w:t>
            </w:r>
          </w:p>
          <w:p w14:paraId="0E138E5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3、对于参加报价的供应商，须具有合法的营业执照；                                                                                                 </w:t>
            </w:r>
          </w:p>
          <w:p w14:paraId="36B7C49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二、本项目招标不接受联合体投标。</w:t>
            </w:r>
          </w:p>
          <w:p w14:paraId="70CB4B6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三、本项目参考品牌：KOVI（天津国威）、冠龙牌（上海）、杰航牌（河北沧州泊头）、中兴牌（湖南长沙）、玉洋（玉田永信）</w:t>
            </w:r>
            <w:r>
              <w:rPr>
                <w:rFonts w:hint="eastAsia" w:ascii="宋体" w:hAnsi="宋体" w:eastAsia="宋体" w:cs="宋体"/>
                <w:b w:val="0"/>
                <w:bCs w:val="0"/>
                <w:i w:val="0"/>
                <w:iCs w:val="0"/>
                <w:color w:val="000000"/>
                <w:kern w:val="0"/>
                <w:sz w:val="21"/>
                <w:szCs w:val="21"/>
                <w:u w:val="none"/>
                <w:lang w:val="en-US" w:eastAsia="zh-CN" w:bidi="ar"/>
              </w:rPr>
              <w:t>，参加报价的供应商如以参考品牌进行报价的，需提供所投品牌商标证明（若为经销商的，需提供所投品牌的授权委托书及品牌商标证明）； 本次参与询价的报价供应商如以参考品牌之外的进行报价，报价产品的技术参数或质量标准不得低于参考品牌的档次，同时报价供应商应当提供拟投货物的技术资料及相关证明材料复印件并加盖公章与报价文件、资格要求的证明材料，以邮寄方式到达指定接收地址为准（启东市江海中路579号（建都大厦）2号楼三楼，联系人：俞女士，联系电话：0513-83721688）。</w:t>
            </w:r>
          </w:p>
          <w:p w14:paraId="26A4042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四、材料标准及要求</w:t>
            </w:r>
          </w:p>
          <w:p w14:paraId="43A0FA1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（一）执行标准</w:t>
            </w:r>
          </w:p>
          <w:p w14:paraId="17B7978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1．报价产品的质量应符合相关国家或行业标准的要求。</w:t>
            </w:r>
          </w:p>
          <w:p w14:paraId="38D7AD8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制造厂家提供的产品，包括由其它厂家外购的设备和附件，其设计、制造、检验、检测、包装和运输，在满足以下规范、标准的最新版本及ISO9001质量保证体系的前提下，应满足或高于本招标文件技术要求的规定。如有冲突，按严格的执行。凡本技术要求未特别提及的地方，也应符合中华人民共和国现行的有关国家标准。</w:t>
            </w:r>
          </w:p>
          <w:p w14:paraId="797D5E9A">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GB/T 1047-2005　管道元件DN(公称尺寸)的定义和选用 </w:t>
            </w:r>
          </w:p>
          <w:p w14:paraId="35DB2F53">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GB/T 1048-2005　管道元件 PN(公称压力)的定义和选用</w:t>
            </w:r>
          </w:p>
          <w:p w14:paraId="478D0011">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GB/T 9969.1-1998　工业产品使用说明书　总则</w:t>
            </w:r>
          </w:p>
          <w:p w14:paraId="64D1BECB">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GB/T 12225-2005　通用阀门 铜合金铸件技术条件</w:t>
            </w:r>
          </w:p>
          <w:p w14:paraId="6958EABA">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GB/T 12226-2005　通用阀门 灰铸铁件技术条件</w:t>
            </w:r>
          </w:p>
          <w:p w14:paraId="7283F94E">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GB/T 12227-2005　通用阀门 球墨铸铁件技术条件</w:t>
            </w:r>
          </w:p>
          <w:p w14:paraId="0E80E427">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GB/T 12229-2005　通用阀门 碳素钢铸件技术条件</w:t>
            </w:r>
          </w:p>
          <w:p w14:paraId="1986DD68">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GB/T 13927-2008　通用阀门　压力试验</w:t>
            </w:r>
          </w:p>
          <w:p w14:paraId="36AA92F0">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GB/T 17219-1998　生活饮用水输配水设备及防护材料的安全性评价标准</w:t>
            </w:r>
          </w:p>
          <w:p w14:paraId="6A86F4A0">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GB/T 17241-1998　铸铁管法兰</w:t>
            </w:r>
          </w:p>
          <w:p w14:paraId="34C00AA4">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JB/T 74-1994　管路法兰　技术条件</w:t>
            </w:r>
          </w:p>
          <w:p w14:paraId="10AB7127">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JB/T 5300-1991　通用阀门　材料</w:t>
            </w:r>
          </w:p>
          <w:p w14:paraId="7190C728">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JB/T 7927-1999　阀门铸钢件　外观质量要求</w:t>
            </w:r>
          </w:p>
          <w:p w14:paraId="237B0A03">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JB/T 8937-1999  对夹式止回阀</w:t>
            </w:r>
          </w:p>
          <w:p w14:paraId="1AB03608">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JB/T 308-2004  阀门型号编制方法</w:t>
            </w:r>
          </w:p>
          <w:p w14:paraId="31EE9713">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GB/T25178-2010  减压型倒流防止器</w:t>
            </w:r>
          </w:p>
          <w:p w14:paraId="5D64A315">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JB/T11151-2011  低阻力倒流防止器</w:t>
            </w:r>
          </w:p>
          <w:p w14:paraId="63BA08D9">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CJ/T160-2010 双止回阀倒流防止器</w:t>
            </w:r>
          </w:p>
          <w:p w14:paraId="40631DF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（二）主要部件材质</w:t>
            </w:r>
          </w:p>
          <w:p w14:paraId="545818D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主要零件材料见下表，若零件材料被代用时，其机械性能不应低于表中所规定的材料。</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8"/>
              <w:gridCol w:w="4988"/>
            </w:tblGrid>
            <w:tr w14:paraId="1ADF2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8" w:type="dxa"/>
                  <w:vAlign w:val="center"/>
                </w:tcPr>
                <w:p w14:paraId="27A91F0C">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主 要 零 件</w:t>
                  </w:r>
                </w:p>
              </w:tc>
              <w:tc>
                <w:tcPr>
                  <w:tcW w:w="4988" w:type="dxa"/>
                  <w:vAlign w:val="center"/>
                </w:tcPr>
                <w:p w14:paraId="7947BBBB">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材 料 名 称</w:t>
                  </w:r>
                </w:p>
              </w:tc>
            </w:tr>
            <w:tr w14:paraId="51FC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8" w:type="dxa"/>
                  <w:vAlign w:val="center"/>
                </w:tcPr>
                <w:p w14:paraId="76513ADC">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阀体、阀盖</w:t>
                  </w:r>
                </w:p>
              </w:tc>
              <w:tc>
                <w:tcPr>
                  <w:tcW w:w="4988" w:type="dxa"/>
                  <w:vAlign w:val="center"/>
                </w:tcPr>
                <w:p w14:paraId="779D98BE">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球墨铸铁QT450/不锈钢</w:t>
                  </w:r>
                </w:p>
              </w:tc>
            </w:tr>
            <w:tr w14:paraId="70891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8" w:type="dxa"/>
                  <w:vAlign w:val="center"/>
                </w:tcPr>
                <w:p w14:paraId="3AAE37B7">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橡胶密封件、膜片</w:t>
                  </w:r>
                </w:p>
              </w:tc>
              <w:tc>
                <w:tcPr>
                  <w:tcW w:w="4988" w:type="dxa"/>
                  <w:vAlign w:val="center"/>
                </w:tcPr>
                <w:p w14:paraId="2818AB1A">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丁腈橡胶或三元乙丙</w:t>
                  </w:r>
                </w:p>
              </w:tc>
            </w:tr>
            <w:tr w14:paraId="05C8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8" w:type="dxa"/>
                  <w:vAlign w:val="center"/>
                </w:tcPr>
                <w:p w14:paraId="59693FBA">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泄水阀板</w:t>
                  </w:r>
                </w:p>
              </w:tc>
              <w:tc>
                <w:tcPr>
                  <w:tcW w:w="4988" w:type="dxa"/>
                  <w:vAlign w:val="center"/>
                </w:tcPr>
                <w:p w14:paraId="2A9ABC17">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304(外包覆丁腈橡胶或三元乙丙)</w:t>
                  </w:r>
                </w:p>
              </w:tc>
            </w:tr>
            <w:tr w14:paraId="73E6A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8" w:type="dxa"/>
                  <w:vAlign w:val="center"/>
                </w:tcPr>
                <w:p w14:paraId="3BB8DC3F">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止回阀阀瓣</w:t>
                  </w:r>
                </w:p>
              </w:tc>
              <w:tc>
                <w:tcPr>
                  <w:tcW w:w="4988" w:type="dxa"/>
                  <w:vAlign w:val="center"/>
                </w:tcPr>
                <w:p w14:paraId="44F6651E">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304不锈钢</w:t>
                  </w:r>
                </w:p>
              </w:tc>
            </w:tr>
            <w:tr w14:paraId="65A1F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8" w:type="dxa"/>
                  <w:vAlign w:val="center"/>
                </w:tcPr>
                <w:p w14:paraId="49025EE4">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阀杆、止回阀弹簧</w:t>
                  </w:r>
                </w:p>
              </w:tc>
              <w:tc>
                <w:tcPr>
                  <w:tcW w:w="4988" w:type="dxa"/>
                  <w:vAlign w:val="center"/>
                </w:tcPr>
                <w:p w14:paraId="37BD67C7">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1Cr18Ni9Ti/304不锈钢</w:t>
                  </w:r>
                </w:p>
              </w:tc>
            </w:tr>
            <w:tr w14:paraId="0CEB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8" w:type="dxa"/>
                  <w:vAlign w:val="center"/>
                </w:tcPr>
                <w:p w14:paraId="05A39C76">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阀座</w:t>
                  </w:r>
                </w:p>
              </w:tc>
              <w:tc>
                <w:tcPr>
                  <w:tcW w:w="4988" w:type="dxa"/>
                  <w:vAlign w:val="center"/>
                </w:tcPr>
                <w:p w14:paraId="0BF3E9EF">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CF8/铜合金（镀镍）</w:t>
                  </w:r>
                </w:p>
              </w:tc>
            </w:tr>
            <w:tr w14:paraId="66DB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8" w:type="dxa"/>
                  <w:vAlign w:val="center"/>
                </w:tcPr>
                <w:p w14:paraId="766DD495">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与水接触的紧固件</w:t>
                  </w:r>
                </w:p>
              </w:tc>
              <w:tc>
                <w:tcPr>
                  <w:tcW w:w="4988" w:type="dxa"/>
                  <w:vAlign w:val="center"/>
                </w:tcPr>
                <w:p w14:paraId="5DA6BF25">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304不锈钢</w:t>
                  </w:r>
                </w:p>
              </w:tc>
            </w:tr>
          </w:tbl>
          <w:p w14:paraId="3D20392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倒流防止器的公称压力应符合GB/T 1048的规定。</w:t>
            </w:r>
          </w:p>
          <w:p w14:paraId="254F267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倒流防止器的公称通径应符合GB/T 1047的规定。</w:t>
            </w:r>
          </w:p>
          <w:p w14:paraId="376DC80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（三）涂装</w:t>
            </w:r>
          </w:p>
          <w:p w14:paraId="1558402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1．所有流道内表面应清理平整。表面进行喷砂除锈，达到Sa2.5级；涂层厚度为：0.3—0.6mm之间，涂料应符合GB/T 17219要求。</w:t>
            </w:r>
          </w:p>
          <w:p w14:paraId="722A296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2．产品外部表面应仔细清除铁锈和油污，涂上底漆。面漆喷涂应该均匀、光洁，不允许有裂纹、脱皮、气泡等缺陷，面漆颜色除用户特殊要求外，一般为绿色或蓝色。</w:t>
            </w:r>
          </w:p>
          <w:p w14:paraId="2C2C401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3．阀体外表面适当位置应铸有凸出的规格、公称压力字样和表示水流方向的箭头。</w:t>
            </w:r>
          </w:p>
          <w:p w14:paraId="4804D10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（四）基本要求</w:t>
            </w:r>
          </w:p>
          <w:p w14:paraId="09C1AEF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1．低阻力法兰型倒流防止器低阻力法兰型公称压力等级均为：1.0MPa；连接方式：DN50及以上规格为法兰连接，DN40及以下为螺纹连接。</w:t>
            </w:r>
          </w:p>
          <w:p w14:paraId="62D5CE7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2．低阻力法兰型倒流防止器要求采用两级独立止回阀加泄水阀的结构，两级止回阀开启关闭互相不干涉。倒流防止器必须成套供应，包括密封圈、阀座、阀瓣等配件。</w:t>
            </w:r>
          </w:p>
          <w:p w14:paraId="560F116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3．低阻力法兰型倒流防止器不应有外露旁通控制管路存在。</w:t>
            </w:r>
          </w:p>
          <w:p w14:paraId="68C57C6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4．低阻力法兰型倒流防止器泄水阀组件应位于主阀体内部或与主阀体一体，不许采用外挂连接形式。</w:t>
            </w:r>
          </w:p>
          <w:p w14:paraId="2321F22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5、泄水阀应采用双重密封形式确保密封的可靠（双重密封不能位于同一平面），且在泄水口周边应加装防护装置，防止杂质进入泄水口而产生卡阻。</w:t>
            </w:r>
          </w:p>
          <w:p w14:paraId="131985D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6．低阻力法兰型倒流防止器与水接触的零部件不许采用铜质材料。</w:t>
            </w:r>
          </w:p>
          <w:p w14:paraId="2B3E1BC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7．低阻力法兰型倒流防止器检测口数量不少于三个，检测口直径不得小于8mm，检测口螺纹规格不小于G1/4’，检测口应安装304以上不锈钢球阀。</w:t>
            </w:r>
          </w:p>
          <w:p w14:paraId="0AE8BB4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8、双止回阀倒流防止器要求采用二级独立的止回阀结构，二级止回阀除阀体共用外无其余共用件，且要求阀体下端无泄水口。</w:t>
            </w:r>
          </w:p>
          <w:p w14:paraId="003F4E4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9、双止回阀倒流防止器要求具备三个检测口，检测口位于阀体侧面或阀体上端，检测口螺纹不小于G1/4’，且检测口要求加装检修阀。</w:t>
            </w:r>
          </w:p>
          <w:p w14:paraId="19B7667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10、双止回阀倒流止器要求具有在线检修功能，即不用将阀门从管道上拆下即可以进行内部件的维修及更换。</w:t>
            </w:r>
          </w:p>
          <w:p w14:paraId="3ABD634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11、双止回阀倒流防止器不允许采用低阻力倒流防止器取消泄水口的结构方式。</w:t>
            </w:r>
          </w:p>
          <w:p w14:paraId="44F94FB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12、双止回阀倒流防止器不应与低阻力倒流防止器通用，产品底部平整一体无装置，水头损失不大于4米（流速2m/s时）。</w:t>
            </w:r>
          </w:p>
          <w:p w14:paraId="1C8236E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（五）低阻力倒流防止器技术要求</w:t>
            </w:r>
          </w:p>
          <w:p w14:paraId="42228A7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1．正常流动状态：进水端的供水压力总是高于出水端水的压力，水能顺利流过低阻力倒流防止器作正向流动，这时进水端的水压与中间腔水压差不小于0.007MPa，这个压差驱动泄水阀处于关闭状态，泄水阀不泄水。</w:t>
            </w:r>
          </w:p>
          <w:p w14:paraId="3934DEB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2．零流量状态（一）：出水端无水流出，若进水端供水压力保持恒定，且进水端水压高于阀腔内水压，压差不小于0.007MPa，泄水阀处于关闭状态。此时出水止回阀压差应不小于0.0035MPa。</w:t>
            </w:r>
          </w:p>
          <w:p w14:paraId="376BEC3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3．零流量状态（二）：出水端无水流出，若进水端供水压力出现下降，虽然进水端的压力仍高于阀腔内的压力，但当ΔPj 小于0.002MPa时, 旁通泄水阀就开启泄水，阀腔内的水（部分）被排出；当出水管路因某种原因而水压上升，而且出水止回阀泄漏，造成阀腔内压力上升，这时当ΔPj小于0.002MPa时泄水阀开启将反流水排出。只要泄水阀开启，空气立即通过与大气相通的漏水斗进入阀腔，形成空气隔断。</w:t>
            </w:r>
          </w:p>
          <w:p w14:paraId="24E467A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反虹吸状态：当倒流防止器的进水端供水压力下降至≤0.002MPa时，无论阀腔内的压力多大，泄水阀开启泄水，同时空气立即通过与大气相通的漏水斗进入阀腔，形成空气隔断，进水端水压即使继续下降形成负压，也不会产生虹吸倒流。</w:t>
            </w:r>
          </w:p>
          <w:p w14:paraId="7D5E1B7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5．中间腔有空气隔断防止外界水源进入。</w:t>
            </w:r>
          </w:p>
          <w:p w14:paraId="58BA193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6．投标产品必须提供出厂试验、静水压试验、密封试验试验报告。采用专用压差检测分析仪进行检测分析。</w:t>
            </w:r>
          </w:p>
          <w:p w14:paraId="3743695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7．性能要求：</w:t>
            </w:r>
          </w:p>
          <w:p w14:paraId="2E89B59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①整机的壳体应有足够的强度和刚度，当试验压力为1.5倍的公称压力时，不得有结构损伤、永久变形和渗漏等现象。</w:t>
            </w:r>
          </w:p>
          <w:p w14:paraId="666E057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②整机所有部件的接口，在试验压力为1.1倍的公称压力时，对外应密封可靠、无泄漏。</w:t>
            </w:r>
          </w:p>
          <w:p w14:paraId="71DFD0D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③整机内的所有止回阀和密封件的密封部位，在试验压力为1.1倍的公称压力时，应无泄漏现象。</w:t>
            </w:r>
          </w:p>
        </w:tc>
      </w:tr>
      <w:tr w14:paraId="7541C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323" w:type="dxa"/>
          <w:wAfter w:w="7268" w:type="dxa"/>
          <w:trHeight w:val="585" w:hRule="atLeast"/>
        </w:trPr>
        <w:tc>
          <w:tcPr>
            <w:tcW w:w="2113" w:type="dxa"/>
            <w:gridSpan w:val="2"/>
            <w:tcBorders>
              <w:top w:val="nil"/>
              <w:left w:val="nil"/>
              <w:bottom w:val="nil"/>
              <w:right w:val="nil"/>
            </w:tcBorders>
            <w:shd w:val="clear" w:color="auto" w:fill="auto"/>
            <w:noWrap/>
            <w:vAlign w:val="center"/>
          </w:tcPr>
          <w:p w14:paraId="3A6878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报价单位（盖章）：</w:t>
            </w:r>
          </w:p>
        </w:tc>
        <w:tc>
          <w:tcPr>
            <w:tcW w:w="488" w:type="dxa"/>
            <w:gridSpan w:val="2"/>
            <w:tcBorders>
              <w:top w:val="nil"/>
              <w:left w:val="nil"/>
              <w:bottom w:val="nil"/>
              <w:right w:val="nil"/>
            </w:tcBorders>
            <w:shd w:val="clear" w:color="auto" w:fill="auto"/>
            <w:noWrap/>
            <w:vAlign w:val="center"/>
          </w:tcPr>
          <w:p w14:paraId="062751E5">
            <w:pPr>
              <w:rPr>
                <w:rFonts w:hint="eastAsia" w:ascii="宋体" w:hAnsi="宋体" w:eastAsia="宋体" w:cs="宋体"/>
                <w:i w:val="0"/>
                <w:iCs w:val="0"/>
                <w:color w:val="000000"/>
                <w:sz w:val="22"/>
                <w:szCs w:val="22"/>
                <w:u w:val="none"/>
              </w:rPr>
            </w:pPr>
          </w:p>
        </w:tc>
      </w:tr>
      <w:tr w14:paraId="4E22E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323" w:type="dxa"/>
          <w:wAfter w:w="7268" w:type="dxa"/>
          <w:trHeight w:val="585" w:hRule="atLeast"/>
        </w:trPr>
        <w:tc>
          <w:tcPr>
            <w:tcW w:w="2113" w:type="dxa"/>
            <w:gridSpan w:val="2"/>
            <w:tcBorders>
              <w:top w:val="nil"/>
              <w:left w:val="nil"/>
              <w:bottom w:val="nil"/>
              <w:right w:val="nil"/>
            </w:tcBorders>
            <w:shd w:val="clear" w:color="auto" w:fill="auto"/>
            <w:noWrap/>
            <w:vAlign w:val="center"/>
          </w:tcPr>
          <w:p w14:paraId="228835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488" w:type="dxa"/>
            <w:gridSpan w:val="2"/>
            <w:tcBorders>
              <w:top w:val="nil"/>
              <w:left w:val="nil"/>
              <w:bottom w:val="nil"/>
              <w:right w:val="nil"/>
            </w:tcBorders>
            <w:shd w:val="clear" w:color="auto" w:fill="auto"/>
            <w:noWrap/>
            <w:vAlign w:val="center"/>
          </w:tcPr>
          <w:p w14:paraId="36A6D72B">
            <w:pPr>
              <w:rPr>
                <w:rFonts w:hint="eastAsia" w:ascii="宋体" w:hAnsi="宋体" w:eastAsia="宋体" w:cs="宋体"/>
                <w:i w:val="0"/>
                <w:iCs w:val="0"/>
                <w:color w:val="000000"/>
                <w:sz w:val="22"/>
                <w:szCs w:val="22"/>
                <w:u w:val="none"/>
              </w:rPr>
            </w:pPr>
          </w:p>
        </w:tc>
      </w:tr>
      <w:tr w14:paraId="78993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323" w:type="dxa"/>
          <w:wAfter w:w="7268" w:type="dxa"/>
          <w:trHeight w:val="585" w:hRule="atLeast"/>
        </w:trPr>
        <w:tc>
          <w:tcPr>
            <w:tcW w:w="2113" w:type="dxa"/>
            <w:gridSpan w:val="2"/>
            <w:tcBorders>
              <w:top w:val="nil"/>
              <w:left w:val="nil"/>
              <w:bottom w:val="nil"/>
              <w:right w:val="nil"/>
            </w:tcBorders>
            <w:shd w:val="clear" w:color="auto" w:fill="auto"/>
            <w:noWrap/>
            <w:vAlign w:val="center"/>
          </w:tcPr>
          <w:p w14:paraId="548C7F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488" w:type="dxa"/>
            <w:gridSpan w:val="2"/>
            <w:tcBorders>
              <w:top w:val="nil"/>
              <w:left w:val="nil"/>
              <w:bottom w:val="nil"/>
              <w:right w:val="nil"/>
            </w:tcBorders>
            <w:shd w:val="clear" w:color="auto" w:fill="auto"/>
            <w:noWrap/>
            <w:vAlign w:val="center"/>
          </w:tcPr>
          <w:p w14:paraId="058C8CB1">
            <w:pPr>
              <w:rPr>
                <w:rFonts w:hint="eastAsia" w:ascii="宋体" w:hAnsi="宋体" w:eastAsia="宋体" w:cs="宋体"/>
                <w:i w:val="0"/>
                <w:iCs w:val="0"/>
                <w:color w:val="000000"/>
                <w:sz w:val="22"/>
                <w:szCs w:val="22"/>
                <w:u w:val="none"/>
              </w:rPr>
            </w:pPr>
          </w:p>
        </w:tc>
      </w:tr>
      <w:tr w14:paraId="7E125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323" w:type="dxa"/>
          <w:wAfter w:w="7268" w:type="dxa"/>
          <w:trHeight w:val="585" w:hRule="atLeast"/>
        </w:trPr>
        <w:tc>
          <w:tcPr>
            <w:tcW w:w="2113" w:type="dxa"/>
            <w:gridSpan w:val="2"/>
            <w:tcBorders>
              <w:top w:val="nil"/>
              <w:left w:val="nil"/>
              <w:bottom w:val="nil"/>
              <w:right w:val="nil"/>
            </w:tcBorders>
            <w:shd w:val="clear" w:color="auto" w:fill="auto"/>
            <w:noWrap/>
            <w:vAlign w:val="center"/>
          </w:tcPr>
          <w:p w14:paraId="667C58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报价时间：</w:t>
            </w:r>
          </w:p>
        </w:tc>
        <w:tc>
          <w:tcPr>
            <w:tcW w:w="488" w:type="dxa"/>
            <w:gridSpan w:val="2"/>
            <w:tcBorders>
              <w:top w:val="nil"/>
              <w:left w:val="nil"/>
              <w:bottom w:val="nil"/>
              <w:right w:val="nil"/>
            </w:tcBorders>
            <w:shd w:val="clear" w:color="auto" w:fill="auto"/>
            <w:noWrap/>
            <w:vAlign w:val="center"/>
          </w:tcPr>
          <w:p w14:paraId="3DC399B5">
            <w:pPr>
              <w:rPr>
                <w:rFonts w:hint="eastAsia" w:ascii="宋体" w:hAnsi="宋体" w:eastAsia="宋体" w:cs="宋体"/>
                <w:i w:val="0"/>
                <w:iCs w:val="0"/>
                <w:color w:val="000000"/>
                <w:sz w:val="22"/>
                <w:szCs w:val="22"/>
                <w:u w:val="none"/>
              </w:rPr>
            </w:pPr>
          </w:p>
        </w:tc>
      </w:tr>
    </w:tbl>
    <w:p w14:paraId="2E99BD8C">
      <w:pPr>
        <w:pStyle w:val="2"/>
        <w:rPr>
          <w:rFonts w:hint="default"/>
          <w:lang w:val="en-US" w:eastAsia="zh-CN"/>
        </w:rPr>
      </w:pP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51756"/>
    <w:rsid w:val="00CA31DF"/>
    <w:rsid w:val="013A07FE"/>
    <w:rsid w:val="02004145"/>
    <w:rsid w:val="0215722A"/>
    <w:rsid w:val="03EC63FF"/>
    <w:rsid w:val="04167BE0"/>
    <w:rsid w:val="04FE1868"/>
    <w:rsid w:val="055210FB"/>
    <w:rsid w:val="060F014D"/>
    <w:rsid w:val="06C9698C"/>
    <w:rsid w:val="06DE411B"/>
    <w:rsid w:val="081F710D"/>
    <w:rsid w:val="08767CBA"/>
    <w:rsid w:val="09CE1802"/>
    <w:rsid w:val="0ADA1283"/>
    <w:rsid w:val="0B837613"/>
    <w:rsid w:val="0C807FF6"/>
    <w:rsid w:val="0D18108F"/>
    <w:rsid w:val="0D9A7247"/>
    <w:rsid w:val="0DA50256"/>
    <w:rsid w:val="0EE36B7D"/>
    <w:rsid w:val="0F0243F5"/>
    <w:rsid w:val="108154AD"/>
    <w:rsid w:val="12EA747F"/>
    <w:rsid w:val="13121E77"/>
    <w:rsid w:val="13455F77"/>
    <w:rsid w:val="15B72A35"/>
    <w:rsid w:val="15C50828"/>
    <w:rsid w:val="1B932687"/>
    <w:rsid w:val="1BCA6B98"/>
    <w:rsid w:val="1CAC06B2"/>
    <w:rsid w:val="1E8B21FB"/>
    <w:rsid w:val="21477E44"/>
    <w:rsid w:val="221847B8"/>
    <w:rsid w:val="2262713B"/>
    <w:rsid w:val="228D26CE"/>
    <w:rsid w:val="22CA2753"/>
    <w:rsid w:val="240E2A35"/>
    <w:rsid w:val="26AF77E5"/>
    <w:rsid w:val="270B5BBD"/>
    <w:rsid w:val="27B57E67"/>
    <w:rsid w:val="2940272E"/>
    <w:rsid w:val="2B54029B"/>
    <w:rsid w:val="2CEF3FB8"/>
    <w:rsid w:val="2ED5212C"/>
    <w:rsid w:val="30552FD2"/>
    <w:rsid w:val="30C90D87"/>
    <w:rsid w:val="30F33128"/>
    <w:rsid w:val="322A22B1"/>
    <w:rsid w:val="347304AF"/>
    <w:rsid w:val="36F07953"/>
    <w:rsid w:val="3885236D"/>
    <w:rsid w:val="391E3890"/>
    <w:rsid w:val="3AF066C3"/>
    <w:rsid w:val="3BEA51F5"/>
    <w:rsid w:val="3C6A6406"/>
    <w:rsid w:val="3D2C0ADF"/>
    <w:rsid w:val="3E1E176E"/>
    <w:rsid w:val="3E202F15"/>
    <w:rsid w:val="3E9078C4"/>
    <w:rsid w:val="3FD55619"/>
    <w:rsid w:val="404B6C28"/>
    <w:rsid w:val="420951A2"/>
    <w:rsid w:val="424A7A77"/>
    <w:rsid w:val="42875CFB"/>
    <w:rsid w:val="42C92294"/>
    <w:rsid w:val="43132246"/>
    <w:rsid w:val="45FA78C3"/>
    <w:rsid w:val="47675677"/>
    <w:rsid w:val="48F53072"/>
    <w:rsid w:val="494621F7"/>
    <w:rsid w:val="4C7F348C"/>
    <w:rsid w:val="4CA44F5B"/>
    <w:rsid w:val="4F25246D"/>
    <w:rsid w:val="50EA7F43"/>
    <w:rsid w:val="50F06B23"/>
    <w:rsid w:val="513973A6"/>
    <w:rsid w:val="51ED6A4B"/>
    <w:rsid w:val="52304CA0"/>
    <w:rsid w:val="5331250E"/>
    <w:rsid w:val="54F36E09"/>
    <w:rsid w:val="558820D0"/>
    <w:rsid w:val="57346FE0"/>
    <w:rsid w:val="57F83763"/>
    <w:rsid w:val="59DB49CF"/>
    <w:rsid w:val="5A3B2D3C"/>
    <w:rsid w:val="5A683FFF"/>
    <w:rsid w:val="5AA769EB"/>
    <w:rsid w:val="5C664E8E"/>
    <w:rsid w:val="5DBF29C4"/>
    <w:rsid w:val="5F5E0F4F"/>
    <w:rsid w:val="62D85246"/>
    <w:rsid w:val="631F5A7F"/>
    <w:rsid w:val="662752EF"/>
    <w:rsid w:val="66DD5F97"/>
    <w:rsid w:val="687A167D"/>
    <w:rsid w:val="68BA0755"/>
    <w:rsid w:val="68E65C61"/>
    <w:rsid w:val="68F94F56"/>
    <w:rsid w:val="693F2885"/>
    <w:rsid w:val="6B342BA7"/>
    <w:rsid w:val="6CF54EC6"/>
    <w:rsid w:val="6D983C19"/>
    <w:rsid w:val="6F8F0EBD"/>
    <w:rsid w:val="6FB438A3"/>
    <w:rsid w:val="701F75C9"/>
    <w:rsid w:val="703F45D4"/>
    <w:rsid w:val="708F5A33"/>
    <w:rsid w:val="71072C9F"/>
    <w:rsid w:val="724D47CD"/>
    <w:rsid w:val="736E263D"/>
    <w:rsid w:val="73F3271F"/>
    <w:rsid w:val="755D5634"/>
    <w:rsid w:val="7638442C"/>
    <w:rsid w:val="78937BBC"/>
    <w:rsid w:val="79852FF6"/>
    <w:rsid w:val="7ACC2155"/>
    <w:rsid w:val="7C156B31"/>
    <w:rsid w:val="7C5E095D"/>
    <w:rsid w:val="7CB80EEC"/>
    <w:rsid w:val="7D105E6B"/>
    <w:rsid w:val="7D1C36F2"/>
    <w:rsid w:val="7DD66E82"/>
    <w:rsid w:val="7DD73D91"/>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2"/>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3"/>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5"/>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6"/>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7"/>
    <w:autoRedefine/>
    <w:qFormat/>
    <w:uiPriority w:val="0"/>
    <w:pPr>
      <w:spacing w:after="120"/>
    </w:pPr>
    <w:rPr>
      <w:rFonts w:ascii="Times New Roman" w:hAnsi="Times New Roman" w:eastAsia="宋体" w:cs="Times New Roman"/>
      <w:kern w:val="0"/>
      <w:sz w:val="24"/>
      <w:szCs w:val="24"/>
    </w:rPr>
  </w:style>
  <w:style w:type="paragraph" w:styleId="9">
    <w:name w:val="Body Text Indent"/>
    <w:basedOn w:val="1"/>
    <w:next w:val="10"/>
    <w:autoRedefine/>
    <w:qFormat/>
    <w:uiPriority w:val="0"/>
    <w:pPr>
      <w:ind w:left="420" w:leftChars="200"/>
    </w:pPr>
  </w:style>
  <w:style w:type="paragraph" w:styleId="10">
    <w:name w:val="envelope return"/>
    <w:basedOn w:val="1"/>
    <w:autoRedefine/>
    <w:qFormat/>
    <w:uiPriority w:val="0"/>
    <w:pPr>
      <w:snapToGrid w:val="0"/>
    </w:pPr>
    <w:rPr>
      <w:rFonts w:ascii="Arial" w:hAnsi="Arial"/>
    </w:rPr>
  </w:style>
  <w:style w:type="paragraph" w:styleId="11">
    <w:name w:val="index 4"/>
    <w:basedOn w:val="1"/>
    <w:next w:val="1"/>
    <w:autoRedefine/>
    <w:unhideWhenUsed/>
    <w:qFormat/>
    <w:uiPriority w:val="99"/>
    <w:pPr>
      <w:ind w:left="600" w:leftChars="600"/>
    </w:pPr>
    <w:rPr>
      <w:rFonts w:ascii="Times New Roman" w:hAnsi="Times New Roman" w:cs="Times New Roman"/>
    </w:rPr>
  </w:style>
  <w:style w:type="paragraph" w:styleId="12">
    <w:name w:val="footer"/>
    <w:basedOn w:val="1"/>
    <w:autoRedefine/>
    <w:semiHidden/>
    <w:unhideWhenUsed/>
    <w:qFormat/>
    <w:uiPriority w:val="99"/>
    <w:pPr>
      <w:tabs>
        <w:tab w:val="center" w:pos="4153"/>
        <w:tab w:val="right" w:pos="8306"/>
      </w:tabs>
      <w:snapToGrid w:val="0"/>
      <w:jc w:val="left"/>
    </w:pPr>
    <w:rPr>
      <w:sz w:val="18"/>
    </w:rPr>
  </w:style>
  <w:style w:type="paragraph" w:styleId="1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w:basedOn w:val="2"/>
    <w:next w:val="16"/>
    <w:autoRedefine/>
    <w:unhideWhenUsed/>
    <w:qFormat/>
    <w:uiPriority w:val="99"/>
    <w:pPr>
      <w:ind w:firstLine="420" w:firstLineChars="100"/>
    </w:pPr>
  </w:style>
  <w:style w:type="paragraph" w:styleId="16">
    <w:name w:val="Body Text First Indent 2"/>
    <w:basedOn w:val="9"/>
    <w:autoRedefine/>
    <w:qFormat/>
    <w:uiPriority w:val="0"/>
    <w:pPr>
      <w:spacing w:after="120"/>
      <w:ind w:firstLine="420" w:firstLineChars="200"/>
    </w:pPr>
    <w:rPr>
      <w:rFonts w:ascii="Times New Roman" w:hAnsi="Times New Roman"/>
      <w:szCs w:val="20"/>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1">
    <w:name w:val="标题 1 Char"/>
    <w:basedOn w:val="19"/>
    <w:link w:val="3"/>
    <w:autoRedefine/>
    <w:qFormat/>
    <w:uiPriority w:val="9"/>
    <w:rPr>
      <w:b/>
      <w:bCs/>
      <w:kern w:val="44"/>
      <w:sz w:val="44"/>
      <w:szCs w:val="44"/>
    </w:rPr>
  </w:style>
  <w:style w:type="character" w:customStyle="1" w:styleId="22">
    <w:name w:val="标题 2 Char"/>
    <w:basedOn w:val="19"/>
    <w:link w:val="4"/>
    <w:autoRedefine/>
    <w:qFormat/>
    <w:uiPriority w:val="9"/>
    <w:rPr>
      <w:rFonts w:asciiTheme="majorHAnsi" w:hAnsiTheme="majorHAnsi" w:eastAsiaTheme="majorEastAsia" w:cstheme="majorBidi"/>
      <w:b/>
      <w:bCs/>
      <w:sz w:val="32"/>
      <w:szCs w:val="32"/>
    </w:rPr>
  </w:style>
  <w:style w:type="character" w:customStyle="1" w:styleId="23">
    <w:name w:val="标题 3 Char"/>
    <w:basedOn w:val="19"/>
    <w:link w:val="5"/>
    <w:autoRedefine/>
    <w:qFormat/>
    <w:uiPriority w:val="9"/>
    <w:rPr>
      <w:b/>
      <w:bCs/>
      <w:sz w:val="32"/>
      <w:szCs w:val="32"/>
    </w:rPr>
  </w:style>
  <w:style w:type="character" w:customStyle="1" w:styleId="24">
    <w:name w:val="标题 4 Char"/>
    <w:basedOn w:val="19"/>
    <w:link w:val="6"/>
    <w:autoRedefine/>
    <w:qFormat/>
    <w:uiPriority w:val="9"/>
    <w:rPr>
      <w:rFonts w:asciiTheme="majorHAnsi" w:hAnsiTheme="majorHAnsi" w:eastAsiaTheme="majorEastAsia" w:cstheme="majorBidi"/>
      <w:b/>
      <w:bCs/>
      <w:sz w:val="28"/>
      <w:szCs w:val="28"/>
    </w:rPr>
  </w:style>
  <w:style w:type="character" w:customStyle="1" w:styleId="25">
    <w:name w:val="标题 5 Char"/>
    <w:basedOn w:val="19"/>
    <w:link w:val="7"/>
    <w:autoRedefine/>
    <w:qFormat/>
    <w:uiPriority w:val="9"/>
    <w:rPr>
      <w:b/>
      <w:bCs/>
      <w:sz w:val="28"/>
      <w:szCs w:val="28"/>
    </w:rPr>
  </w:style>
  <w:style w:type="character" w:customStyle="1" w:styleId="26">
    <w:name w:val="标题 6 Char"/>
    <w:basedOn w:val="19"/>
    <w:link w:val="8"/>
    <w:autoRedefine/>
    <w:qFormat/>
    <w:uiPriority w:val="9"/>
    <w:rPr>
      <w:rFonts w:asciiTheme="majorHAnsi" w:hAnsiTheme="majorHAnsi" w:eastAsiaTheme="majorEastAsia" w:cstheme="majorBidi"/>
      <w:b/>
      <w:bCs/>
      <w:sz w:val="24"/>
      <w:szCs w:val="24"/>
    </w:rPr>
  </w:style>
  <w:style w:type="character" w:customStyle="1" w:styleId="27">
    <w:name w:val="正文文本 Char"/>
    <w:basedOn w:val="19"/>
    <w:link w:val="2"/>
    <w:autoRedefine/>
    <w:qFormat/>
    <w:uiPriority w:val="0"/>
    <w:rPr>
      <w:rFonts w:ascii="Times New Roman" w:hAnsi="Times New Roman" w:eastAsia="宋体" w:cs="Times New Roman"/>
      <w:kern w:val="0"/>
      <w:sz w:val="24"/>
      <w:szCs w:val="24"/>
    </w:rPr>
  </w:style>
  <w:style w:type="character" w:customStyle="1" w:styleId="28">
    <w:name w:val="NormalCharacter"/>
    <w:autoRedefine/>
    <w:qFormat/>
    <w:uiPriority w:val="99"/>
  </w:style>
  <w:style w:type="character" w:customStyle="1" w:styleId="29">
    <w:name w:val="font21"/>
    <w:basedOn w:val="19"/>
    <w:autoRedefine/>
    <w:qFormat/>
    <w:uiPriority w:val="0"/>
    <w:rPr>
      <w:rFonts w:hint="eastAsia" w:ascii="宋体" w:hAnsi="宋体" w:eastAsia="宋体" w:cs="宋体"/>
      <w:color w:val="000000"/>
      <w:sz w:val="20"/>
      <w:szCs w:val="20"/>
      <w:u w:val="none"/>
    </w:rPr>
  </w:style>
  <w:style w:type="character" w:customStyle="1" w:styleId="30">
    <w:name w:val="font41"/>
    <w:basedOn w:val="19"/>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3731</Words>
  <Characters>4240</Characters>
  <Lines>39</Lines>
  <Paragraphs>10</Paragraphs>
  <TotalTime>7</TotalTime>
  <ScaleCrop>false</ScaleCrop>
  <LinksUpToDate>false</LinksUpToDate>
  <CharactersWithSpaces>4518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Stella</cp:lastModifiedBy>
  <cp:lastPrinted>2025-02-13T01:18:00Z</cp:lastPrinted>
  <dcterms:modified xsi:type="dcterms:W3CDTF">2025-02-24T01:46:40Z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A134B7E9AB9F47A28EA160C4813F986A_13</vt:lpwstr>
  </property>
  <property fmtid="{D5CDD505-2E9C-101B-9397-08002B2CF9AE}" pid="4" name="KSOTemplateDocerSaveRecord">
    <vt:lpwstr>eyJoZGlkIjoiZTNlMmY5YjcxZTRkZjg5N2MyMWI3YzFkZTQ2OTdlZWQiLCJ1c2VySWQiOiI0NTEyNTg0MjYifQ==</vt:lpwstr>
  </property>
</Properties>
</file>