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60C10">
      <w:pPr>
        <w:snapToGrid w:val="0"/>
        <w:spacing w:beforeLines="50" w:afterLines="50" w:line="480" w:lineRule="exact"/>
        <w:ind w:firstLine="720" w:firstLineChars="200"/>
        <w:jc w:val="center"/>
        <w:rPr>
          <w:rFonts w:ascii="宋体" w:hAnsi="宋体" w:cs="宋体"/>
          <w:b/>
          <w:sz w:val="36"/>
          <w:szCs w:val="36"/>
        </w:rPr>
      </w:pPr>
      <w:bookmarkStart w:id="0" w:name="OLE_LINK1"/>
      <w:r>
        <w:rPr>
          <w:rFonts w:hint="eastAsia" w:ascii="宋体" w:hAnsi="宋体" w:cs="宋体"/>
          <w:b/>
          <w:sz w:val="36"/>
          <w:szCs w:val="36"/>
        </w:rPr>
        <w:t>询价公告</w:t>
      </w:r>
    </w:p>
    <w:p w14:paraId="2E2A7226">
      <w:pPr>
        <w:snapToGrid w:val="0"/>
        <w:spacing w:line="48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我公司的</w:t>
      </w:r>
      <w:r>
        <w:rPr>
          <w:rFonts w:hint="eastAsia" w:asciiTheme="minorEastAsia" w:hAnsiTheme="minorEastAsia" w:eastAsiaTheme="minorEastAsia" w:cstheme="minorEastAsia"/>
          <w:b/>
          <w:bCs/>
          <w:sz w:val="24"/>
          <w:szCs w:val="24"/>
          <w:u w:val="single"/>
          <w:lang w:eastAsia="zh-CN"/>
        </w:rPr>
        <w:t>启东市自来水厂有限公司新办公点办公家具采购项目</w:t>
      </w:r>
      <w:r>
        <w:rPr>
          <w:rFonts w:hint="eastAsia" w:asciiTheme="minorEastAsia" w:hAnsiTheme="minorEastAsia" w:eastAsiaTheme="minorEastAsia" w:cstheme="minorEastAsia"/>
          <w:spacing w:val="-6"/>
          <w:sz w:val="24"/>
          <w:szCs w:val="24"/>
        </w:rPr>
        <w:t>已经批准实施，现决定对该项目进行询价采购，选定成交供应商。</w:t>
      </w:r>
    </w:p>
    <w:p w14:paraId="5FCE152E">
      <w:pPr>
        <w:widowControl/>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一、项目概况</w:t>
      </w:r>
    </w:p>
    <w:p w14:paraId="6F5C6C9A">
      <w:pPr>
        <w:snapToGrid w:val="0"/>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（一）项目规模：估算</w:t>
      </w:r>
      <w:r>
        <w:rPr>
          <w:rFonts w:hint="eastAsia" w:asciiTheme="minorEastAsia" w:hAnsiTheme="minorEastAsia" w:eastAsiaTheme="minorEastAsia" w:cstheme="minorEastAsia"/>
          <w:sz w:val="24"/>
          <w:szCs w:val="24"/>
          <w:highlight w:val="none"/>
        </w:rPr>
        <w:t>投</w:t>
      </w:r>
      <w:r>
        <w:rPr>
          <w:rFonts w:hint="eastAsia" w:asciiTheme="minorEastAsia" w:hAnsiTheme="minorEastAsia" w:eastAsiaTheme="minorEastAsia" w:cstheme="minorEastAsia"/>
          <w:sz w:val="24"/>
          <w:szCs w:val="24"/>
          <w:highlight w:val="none"/>
          <w:u w:val="none"/>
        </w:rPr>
        <w:t>资约</w:t>
      </w:r>
      <w:r>
        <w:rPr>
          <w:rFonts w:hint="eastAsia" w:asciiTheme="minorEastAsia" w:hAnsiTheme="minorEastAsia" w:eastAsiaTheme="minorEastAsia" w:cstheme="minorEastAsia"/>
          <w:sz w:val="24"/>
          <w:szCs w:val="24"/>
          <w:highlight w:val="none"/>
          <w:u w:val="none"/>
          <w:lang w:val="en-US" w:eastAsia="zh-CN"/>
        </w:rPr>
        <w:t>46</w:t>
      </w:r>
      <w:r>
        <w:rPr>
          <w:rFonts w:hint="eastAsia" w:asciiTheme="minorEastAsia" w:hAnsiTheme="minorEastAsia" w:eastAsiaTheme="minorEastAsia" w:cstheme="minorEastAsia"/>
          <w:sz w:val="24"/>
          <w:szCs w:val="24"/>
          <w:highlight w:val="none"/>
          <w:u w:val="none"/>
        </w:rPr>
        <w:t>万元。</w:t>
      </w:r>
    </w:p>
    <w:p w14:paraId="467AF687">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（二）招标方式：在启东市自来水厂有限公司网站公开招标。</w:t>
      </w:r>
    </w:p>
    <w:p w14:paraId="5F572BAB">
      <w:pPr>
        <w:pStyle w:val="6"/>
        <w:spacing w:after="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（三）资金来源：自筹。</w:t>
      </w:r>
    </w:p>
    <w:p w14:paraId="23F4C077">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交货期：中标公告发布后十五日内签订合同，签订合同后15日内将所有货物送至采购人指定位置并安装、调试完毕。若供应商未按照合同约定时间交货的，且未及时以书面形式向采购人提交延误原因，又无正当理由的，每逾期一天，供货方应按该批采购标的额的5‰向采购方支付滞纳金，逾期超过15天，采购方有权终止本合同，并没收全额履约保证金，并有权要求供货方承担该笔订单金额的30%作为违约金。</w:t>
      </w:r>
    </w:p>
    <w:p w14:paraId="6C56B09A">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（五）交货、安装地点：采购单位指定地点。</w:t>
      </w:r>
    </w:p>
    <w:p w14:paraId="607697BC">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（六）质量要求：供应商须提供符合采购需求、符合国家质量检测标准的全新未使用过的原装合格产品，产品质量符合询价文件要求、行业及国家标准。</w:t>
      </w:r>
    </w:p>
    <w:p w14:paraId="7AA1F364">
      <w:pPr>
        <w:widowControl/>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质保、售后服务要求：本项目所有货物必须提供一年全免费质保（配件+人工）及售后服务。质保期内成交供应商应免费维修，质保期外的维修收费按国家和供应商的相关规定办理。所有设备质保时间为自验收合格之日起计。（如果货物原厂承诺的保修期高于国家规定的保修期，则按原厂承诺的执行）。</w:t>
      </w:r>
    </w:p>
    <w:p w14:paraId="17F42F80">
      <w:pPr>
        <w:widowControl/>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47DD866A">
      <w:pPr>
        <w:widowControl/>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在质保期内，同一商品、同一质量问题连续两次维修仍无法正常使用，供应商无条件给予全套更新或退货。</w:t>
      </w:r>
    </w:p>
    <w:p w14:paraId="2C5947E6">
      <w:pPr>
        <w:widowControl/>
        <w:spacing w:line="48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二、供应商主要资格要求：</w:t>
      </w:r>
    </w:p>
    <w:p w14:paraId="483E1E55">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1、符合《中华人民共和国政府采购法》第二十二条的规定。</w:t>
      </w:r>
    </w:p>
    <w:p w14:paraId="7B5163D5">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2、供应商应具备独立法人资格，具有合法的企业营业执照。</w:t>
      </w:r>
    </w:p>
    <w:p w14:paraId="536FFD5B">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3、企业未处于被责令停业、投标资格被取消或者财产被接管、冻结和破产状态、没有因骗取中标或者严重违约以及发生重大工程质量、安全生产事故等问题，被有关部门暂停投标资格并在暂停期内的。</w:t>
      </w:r>
    </w:p>
    <w:p w14:paraId="50877FA5">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4、参加政府采购活动近三年内，在经营活动中没有重大违法记录（提供参加本项目政府采购活动前3年内在经营活动中没有重大违法记录的书面声明）。</w:t>
      </w:r>
    </w:p>
    <w:p w14:paraId="1034A74F">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5、本项目不接受联合体投标。</w:t>
      </w:r>
    </w:p>
    <w:p w14:paraId="3C2F3B57">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6、禁止情形：</w:t>
      </w:r>
    </w:p>
    <w:p w14:paraId="4607A97B">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拒绝以下投标人参与投标：</w:t>
      </w:r>
    </w:p>
    <w:p w14:paraId="0BCBF6CE">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（1）单位负责人为同一人或者存在直接控股、管理关系的不同投标人，不得参加同一合同项下的政府采购活动。</w:t>
      </w:r>
    </w:p>
    <w:p w14:paraId="02D5D53E">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（2）为采购项目提供整体设计、规范编制或者项目管理、监理、检测等服务的投标人，不得再参加本采购项目的其他采购活动。</w:t>
      </w:r>
    </w:p>
    <w:p w14:paraId="5DCE3570">
      <w:pPr>
        <w:snapToGrid w:val="0"/>
        <w:spacing w:line="48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三、采购货物清单：详见下表</w:t>
      </w:r>
    </w:p>
    <w:tbl>
      <w:tblPr>
        <w:tblStyle w:val="15"/>
        <w:tblW w:w="55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44"/>
        <w:gridCol w:w="1740"/>
        <w:gridCol w:w="630"/>
        <w:gridCol w:w="424"/>
        <w:gridCol w:w="4871"/>
      </w:tblGrid>
      <w:tr w14:paraId="1BC4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26AC60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699" w:type="pct"/>
            <w:noWrap w:val="0"/>
            <w:vAlign w:val="center"/>
          </w:tcPr>
          <w:p w14:paraId="5A5F3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  称</w:t>
            </w:r>
          </w:p>
        </w:tc>
        <w:tc>
          <w:tcPr>
            <w:tcW w:w="905" w:type="pct"/>
            <w:noWrap w:val="0"/>
            <w:vAlign w:val="center"/>
          </w:tcPr>
          <w:p w14:paraId="4A63F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样图</w:t>
            </w:r>
          </w:p>
        </w:tc>
        <w:tc>
          <w:tcPr>
            <w:tcW w:w="327" w:type="pct"/>
            <w:noWrap w:val="0"/>
            <w:vAlign w:val="center"/>
          </w:tcPr>
          <w:p w14:paraId="5068A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20" w:type="pct"/>
            <w:noWrap w:val="0"/>
            <w:vAlign w:val="center"/>
          </w:tcPr>
          <w:p w14:paraId="5B7EC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534" w:type="pct"/>
            <w:noWrap w:val="0"/>
            <w:vAlign w:val="center"/>
          </w:tcPr>
          <w:p w14:paraId="71CE2B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材质要求</w:t>
            </w:r>
          </w:p>
        </w:tc>
      </w:tr>
      <w:tr w14:paraId="44E7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63526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pct"/>
            <w:noWrap w:val="0"/>
            <w:vAlign w:val="center"/>
          </w:tcPr>
          <w:p w14:paraId="30616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办  公  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2000W×1800D×750H</w:t>
            </w:r>
          </w:p>
        </w:tc>
        <w:tc>
          <w:tcPr>
            <w:tcW w:w="905" w:type="pct"/>
            <w:noWrap/>
            <w:vAlign w:val="center"/>
          </w:tcPr>
          <w:p w14:paraId="198AFF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803275</wp:posOffset>
                  </wp:positionV>
                  <wp:extent cx="952500" cy="581660"/>
                  <wp:effectExtent l="0" t="0" r="0" b="8890"/>
                  <wp:wrapNone/>
                  <wp:docPr id="28" name="图片_7"/>
                  <wp:cNvGraphicFramePr/>
                  <a:graphic xmlns:a="http://schemas.openxmlformats.org/drawingml/2006/main">
                    <a:graphicData uri="http://schemas.openxmlformats.org/drawingml/2006/picture">
                      <pic:pic xmlns:pic="http://schemas.openxmlformats.org/drawingml/2006/picture">
                        <pic:nvPicPr>
                          <pic:cNvPr id="28" name="图片_7"/>
                          <pic:cNvPicPr/>
                        </pic:nvPicPr>
                        <pic:blipFill>
                          <a:blip r:embed="rId6"/>
                          <a:stretch>
                            <a:fillRect/>
                          </a:stretch>
                        </pic:blipFill>
                        <pic:spPr>
                          <a:xfrm>
                            <a:off x="0" y="0"/>
                            <a:ext cx="952500" cy="581660"/>
                          </a:xfrm>
                          <a:prstGeom prst="rect">
                            <a:avLst/>
                          </a:prstGeom>
                          <a:noFill/>
                          <a:ln>
                            <a:noFill/>
                          </a:ln>
                        </pic:spPr>
                      </pic:pic>
                    </a:graphicData>
                  </a:graphic>
                </wp:anchor>
              </w:drawing>
            </w:r>
          </w:p>
        </w:tc>
        <w:tc>
          <w:tcPr>
            <w:tcW w:w="327" w:type="pct"/>
            <w:noWrap w:val="0"/>
            <w:vAlign w:val="center"/>
          </w:tcPr>
          <w:p w14:paraId="79F59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4B145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534" w:type="pct"/>
            <w:noWrap w:val="0"/>
            <w:vAlign w:val="center"/>
          </w:tcPr>
          <w:p w14:paraId="54F4E9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3D2B8D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0F3C4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69FE74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37FB28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2268B4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1B495B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CDA1D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5B796A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197134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5A395C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73CD99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6A27F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48E44D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r>
      <w:tr w14:paraId="44E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66F449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99" w:type="pct"/>
            <w:noWrap w:val="0"/>
            <w:vAlign w:val="center"/>
          </w:tcPr>
          <w:p w14:paraId="7EABB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文件矮柜1800*400*1100</w:t>
            </w:r>
          </w:p>
        </w:tc>
        <w:tc>
          <w:tcPr>
            <w:tcW w:w="905" w:type="pct"/>
            <w:noWrap/>
            <w:vAlign w:val="center"/>
          </w:tcPr>
          <w:p w14:paraId="7E3E28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80768" behindDoc="0" locked="0" layoutInCell="1" allowOverlap="1">
                  <wp:simplePos x="0" y="0"/>
                  <wp:positionH relativeFrom="column">
                    <wp:posOffset>85725</wp:posOffset>
                  </wp:positionH>
                  <wp:positionV relativeFrom="paragraph">
                    <wp:posOffset>898525</wp:posOffset>
                  </wp:positionV>
                  <wp:extent cx="914400" cy="1027430"/>
                  <wp:effectExtent l="0" t="0" r="0" b="1270"/>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7"/>
                          <a:stretch>
                            <a:fillRect/>
                          </a:stretch>
                        </pic:blipFill>
                        <pic:spPr>
                          <a:xfrm>
                            <a:off x="0" y="0"/>
                            <a:ext cx="914400" cy="1027430"/>
                          </a:xfrm>
                          <a:prstGeom prst="rect">
                            <a:avLst/>
                          </a:prstGeom>
                          <a:noFill/>
                          <a:ln>
                            <a:noFill/>
                          </a:ln>
                        </pic:spPr>
                      </pic:pic>
                    </a:graphicData>
                  </a:graphic>
                </wp:anchor>
              </w:drawing>
            </w:r>
          </w:p>
        </w:tc>
        <w:tc>
          <w:tcPr>
            <w:tcW w:w="327" w:type="pct"/>
            <w:noWrap w:val="0"/>
            <w:vAlign w:val="center"/>
          </w:tcPr>
          <w:p w14:paraId="4E2C1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707F0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noWrap w:val="0"/>
            <w:vAlign w:val="center"/>
          </w:tcPr>
          <w:p w14:paraId="6941D5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550AC8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43229D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09BF9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29A899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367E0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3192A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6FD9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4C9A9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44972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0D9012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0C6A3B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6B7513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1873B9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r>
      <w:tr w14:paraId="3957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C5567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99" w:type="pct"/>
            <w:noWrap w:val="0"/>
            <w:vAlign w:val="center"/>
          </w:tcPr>
          <w:p w14:paraId="0289D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  公  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1600W×1400D×750H</w:t>
            </w:r>
          </w:p>
        </w:tc>
        <w:tc>
          <w:tcPr>
            <w:tcW w:w="905" w:type="pct"/>
            <w:noWrap/>
            <w:vAlign w:val="center"/>
          </w:tcPr>
          <w:p w14:paraId="6BDDBB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81792" behindDoc="0" locked="0" layoutInCell="1" allowOverlap="1">
                  <wp:simplePos x="0" y="0"/>
                  <wp:positionH relativeFrom="column">
                    <wp:posOffset>-19050</wp:posOffset>
                  </wp:positionH>
                  <wp:positionV relativeFrom="paragraph">
                    <wp:posOffset>1714500</wp:posOffset>
                  </wp:positionV>
                  <wp:extent cx="981075" cy="666750"/>
                  <wp:effectExtent l="0" t="0" r="9525" b="0"/>
                  <wp:wrapNone/>
                  <wp:docPr id="26" name="图片_13"/>
                  <wp:cNvGraphicFramePr/>
                  <a:graphic xmlns:a="http://schemas.openxmlformats.org/drawingml/2006/main">
                    <a:graphicData uri="http://schemas.openxmlformats.org/drawingml/2006/picture">
                      <pic:pic xmlns:pic="http://schemas.openxmlformats.org/drawingml/2006/picture">
                        <pic:nvPicPr>
                          <pic:cNvPr id="26" name="图片_13"/>
                          <pic:cNvPicPr/>
                        </pic:nvPicPr>
                        <pic:blipFill>
                          <a:blip r:embed="rId6"/>
                          <a:stretch>
                            <a:fillRect/>
                          </a:stretch>
                        </pic:blipFill>
                        <pic:spPr>
                          <a:xfrm>
                            <a:off x="0" y="0"/>
                            <a:ext cx="981075" cy="666750"/>
                          </a:xfrm>
                          <a:prstGeom prst="rect">
                            <a:avLst/>
                          </a:prstGeom>
                          <a:noFill/>
                          <a:ln>
                            <a:noFill/>
                          </a:ln>
                        </pic:spPr>
                      </pic:pic>
                    </a:graphicData>
                  </a:graphic>
                </wp:anchor>
              </w:drawing>
            </w:r>
          </w:p>
        </w:tc>
        <w:tc>
          <w:tcPr>
            <w:tcW w:w="327" w:type="pct"/>
            <w:noWrap w:val="0"/>
            <w:vAlign w:val="center"/>
          </w:tcPr>
          <w:p w14:paraId="4E82B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1F382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34" w:type="pct"/>
            <w:noWrap w:val="0"/>
            <w:vAlign w:val="center"/>
          </w:tcPr>
          <w:p w14:paraId="6E22A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067E86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1D5D3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58E1B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7AAEFF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596C9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23C356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3C7AEC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2862F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31A35B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2533F9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16A3DA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6D1F50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43173F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r>
      <w:tr w14:paraId="7783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7590F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99" w:type="pct"/>
            <w:noWrap w:val="0"/>
            <w:vAlign w:val="center"/>
          </w:tcPr>
          <w:p w14:paraId="1CCDA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2400*400*2000</w:t>
            </w:r>
          </w:p>
        </w:tc>
        <w:tc>
          <w:tcPr>
            <w:tcW w:w="905" w:type="pct"/>
            <w:noWrap/>
            <w:vAlign w:val="center"/>
          </w:tcPr>
          <w:p w14:paraId="6704F243">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99200" behindDoc="0" locked="0" layoutInCell="1" allowOverlap="1">
                  <wp:simplePos x="0" y="0"/>
                  <wp:positionH relativeFrom="column">
                    <wp:posOffset>104775</wp:posOffset>
                  </wp:positionH>
                  <wp:positionV relativeFrom="paragraph">
                    <wp:posOffset>365125</wp:posOffset>
                  </wp:positionV>
                  <wp:extent cx="800100" cy="1962150"/>
                  <wp:effectExtent l="0" t="0" r="0" b="0"/>
                  <wp:wrapNone/>
                  <wp:docPr id="39" name="图片_9"/>
                  <wp:cNvGraphicFramePr/>
                  <a:graphic xmlns:a="http://schemas.openxmlformats.org/drawingml/2006/main">
                    <a:graphicData uri="http://schemas.openxmlformats.org/drawingml/2006/picture">
                      <pic:pic xmlns:pic="http://schemas.openxmlformats.org/drawingml/2006/picture">
                        <pic:nvPicPr>
                          <pic:cNvPr id="39" name="图片_9"/>
                          <pic:cNvPicPr/>
                        </pic:nvPicPr>
                        <pic:blipFill>
                          <a:blip r:embed="rId8"/>
                          <a:stretch>
                            <a:fillRect/>
                          </a:stretch>
                        </pic:blipFill>
                        <pic:spPr>
                          <a:xfrm>
                            <a:off x="0" y="0"/>
                            <a:ext cx="800100" cy="1962150"/>
                          </a:xfrm>
                          <a:prstGeom prst="rect">
                            <a:avLst/>
                          </a:prstGeom>
                          <a:noFill/>
                          <a:ln>
                            <a:noFill/>
                          </a:ln>
                        </pic:spPr>
                      </pic:pic>
                    </a:graphicData>
                  </a:graphic>
                </wp:anchor>
              </w:drawing>
            </w:r>
          </w:p>
        </w:tc>
        <w:tc>
          <w:tcPr>
            <w:tcW w:w="327" w:type="pct"/>
            <w:noWrap w:val="0"/>
            <w:vAlign w:val="center"/>
          </w:tcPr>
          <w:p w14:paraId="5307D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509F7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34" w:type="pct"/>
            <w:noWrap w:val="0"/>
            <w:vAlign w:val="center"/>
          </w:tcPr>
          <w:p w14:paraId="6C07B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235F90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508EA1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42753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7703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138E8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676CF1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7C865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1A33DE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4E3745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3B3EDA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636E48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75614E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02DD4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r>
      <w:tr w14:paraId="5D90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ACA3C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99" w:type="pct"/>
            <w:noWrap w:val="0"/>
            <w:vAlign w:val="center"/>
          </w:tcPr>
          <w:p w14:paraId="74A0B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 公 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1060×600×500</w:t>
            </w:r>
          </w:p>
        </w:tc>
        <w:tc>
          <w:tcPr>
            <w:tcW w:w="905" w:type="pct"/>
            <w:noWrap/>
            <w:vAlign w:val="center"/>
          </w:tcPr>
          <w:p w14:paraId="6A5AB9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118110</wp:posOffset>
                  </wp:positionH>
                  <wp:positionV relativeFrom="paragraph">
                    <wp:posOffset>2656205</wp:posOffset>
                  </wp:positionV>
                  <wp:extent cx="895350" cy="948690"/>
                  <wp:effectExtent l="0" t="0" r="0" b="3810"/>
                  <wp:wrapNone/>
                  <wp:docPr id="27" name="图片_20"/>
                  <wp:cNvGraphicFramePr/>
                  <a:graphic xmlns:a="http://schemas.openxmlformats.org/drawingml/2006/main">
                    <a:graphicData uri="http://schemas.openxmlformats.org/drawingml/2006/picture">
                      <pic:pic xmlns:pic="http://schemas.openxmlformats.org/drawingml/2006/picture">
                        <pic:nvPicPr>
                          <pic:cNvPr id="27" name="图片_20"/>
                          <pic:cNvPicPr/>
                        </pic:nvPicPr>
                        <pic:blipFill>
                          <a:blip r:embed="rId9"/>
                          <a:stretch>
                            <a:fillRect/>
                          </a:stretch>
                        </pic:blipFill>
                        <pic:spPr>
                          <a:xfrm>
                            <a:off x="0" y="0"/>
                            <a:ext cx="895350" cy="948690"/>
                          </a:xfrm>
                          <a:prstGeom prst="rect">
                            <a:avLst/>
                          </a:prstGeom>
                          <a:noFill/>
                          <a:ln>
                            <a:noFill/>
                          </a:ln>
                        </pic:spPr>
                      </pic:pic>
                    </a:graphicData>
                  </a:graphic>
                </wp:anchor>
              </w:drawing>
            </w:r>
          </w:p>
        </w:tc>
        <w:tc>
          <w:tcPr>
            <w:tcW w:w="327" w:type="pct"/>
            <w:noWrap w:val="0"/>
            <w:vAlign w:val="center"/>
          </w:tcPr>
          <w:p w14:paraId="18655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392C3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534" w:type="pct"/>
            <w:noWrap w:val="0"/>
            <w:vAlign w:val="center"/>
          </w:tcPr>
          <w:p w14:paraId="3A4C8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1、饰面：采用优质西皮，符合GB/T 16799-2018《家具用皮革》标准，撕裂力≥90N，摩擦色牢度干擦（500 次）、 湿擦（250 次）、碱性汗液（80 次）≥4 级，气味≤2 级，耐光性≥5 级，禁用偶氮染料（23类）的含量未检出、游离甲醛含量≤20mg/kg，挥发性有机化合物≤20mg/kg，PH 值≥7，可萃取重金属铅含量、镉含量均≤1mg/kg；涂层粘着牢度≥5N/10mm。须提供2022 年1月1日以来有CMA、ilac-MRA、CNAS 标识的权威质量检测部门出具的西皮抽样检测报告扫描件，并加盖投标人公章。</w:t>
            </w:r>
          </w:p>
          <w:p w14:paraId="5B6EDA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p>
          <w:p w14:paraId="04CA0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3、成型胶合板：成型胶合板，含水率，浸渍剥离性能每一边剥离长度累计≤25mm，抗压性能无破损，断裂，</w:t>
            </w:r>
          </w:p>
          <w:p w14:paraId="0DED8A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不脱胶，无异常声响，甲醛释放量，均符合国家标准。</w:t>
            </w:r>
          </w:p>
          <w:p w14:paraId="3F5442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4、弓形脚：五金弓形脚，壁厚2.0mm钢管折弯而成，表面电镀。</w:t>
            </w:r>
          </w:p>
        </w:tc>
      </w:tr>
      <w:tr w14:paraId="51B5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1C86E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99" w:type="pct"/>
            <w:noWrap w:val="0"/>
            <w:vAlign w:val="center"/>
          </w:tcPr>
          <w:p w14:paraId="09CF4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经理接待室桌子2000W×1000D×750H</w:t>
            </w:r>
          </w:p>
        </w:tc>
        <w:tc>
          <w:tcPr>
            <w:tcW w:w="905" w:type="pct"/>
            <w:noWrap/>
            <w:vAlign w:val="center"/>
          </w:tcPr>
          <w:p w14:paraId="1D97F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1425575</wp:posOffset>
                  </wp:positionV>
                  <wp:extent cx="942975" cy="733425"/>
                  <wp:effectExtent l="0" t="0" r="9525" b="9525"/>
                  <wp:wrapNone/>
                  <wp:docPr id="25" name="图片_15"/>
                  <wp:cNvGraphicFramePr/>
                  <a:graphic xmlns:a="http://schemas.openxmlformats.org/drawingml/2006/main">
                    <a:graphicData uri="http://schemas.openxmlformats.org/drawingml/2006/picture">
                      <pic:pic xmlns:pic="http://schemas.openxmlformats.org/drawingml/2006/picture">
                        <pic:nvPicPr>
                          <pic:cNvPr id="25" name="图片_15"/>
                          <pic:cNvPicPr/>
                        </pic:nvPicPr>
                        <pic:blipFill>
                          <a:blip r:embed="rId10"/>
                          <a:stretch>
                            <a:fillRect/>
                          </a:stretch>
                        </pic:blipFill>
                        <pic:spPr>
                          <a:xfrm>
                            <a:off x="0" y="0"/>
                            <a:ext cx="942975" cy="733425"/>
                          </a:xfrm>
                          <a:prstGeom prst="rect">
                            <a:avLst/>
                          </a:prstGeom>
                          <a:noFill/>
                          <a:ln>
                            <a:noFill/>
                          </a:ln>
                        </pic:spPr>
                      </pic:pic>
                    </a:graphicData>
                  </a:graphic>
                </wp:anchor>
              </w:drawing>
            </w:r>
          </w:p>
        </w:tc>
        <w:tc>
          <w:tcPr>
            <w:tcW w:w="327" w:type="pct"/>
            <w:noWrap w:val="0"/>
            <w:vAlign w:val="center"/>
          </w:tcPr>
          <w:p w14:paraId="54C31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17F4B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noWrap w:val="0"/>
            <w:vAlign w:val="center"/>
          </w:tcPr>
          <w:p w14:paraId="4D51B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54D9E9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181DC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358E58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496A1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65B025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4BE0BB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B277A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6203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894AE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99" w:type="pct"/>
            <w:noWrap w:val="0"/>
            <w:vAlign w:val="center"/>
          </w:tcPr>
          <w:p w14:paraId="77EAA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经理接待室椅子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925195</wp:posOffset>
                  </wp:positionH>
                  <wp:positionV relativeFrom="paragraph">
                    <wp:posOffset>3727450</wp:posOffset>
                  </wp:positionV>
                  <wp:extent cx="782955" cy="1188720"/>
                  <wp:effectExtent l="0" t="0" r="17145" b="11430"/>
                  <wp:wrapNone/>
                  <wp:docPr id="33" name="图片_22"/>
                  <wp:cNvGraphicFramePr/>
                  <a:graphic xmlns:a="http://schemas.openxmlformats.org/drawingml/2006/main">
                    <a:graphicData uri="http://schemas.openxmlformats.org/drawingml/2006/picture">
                      <pic:pic xmlns:pic="http://schemas.openxmlformats.org/drawingml/2006/picture">
                        <pic:nvPicPr>
                          <pic:cNvPr id="33" name="图片_22"/>
                          <pic:cNvPicPr/>
                        </pic:nvPicPr>
                        <pic:blipFill>
                          <a:blip r:embed="rId11"/>
                          <a:stretch>
                            <a:fillRect/>
                          </a:stretch>
                        </pic:blipFill>
                        <pic:spPr>
                          <a:xfrm>
                            <a:off x="0" y="0"/>
                            <a:ext cx="782955" cy="11887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910×510×600</w:t>
            </w:r>
          </w:p>
        </w:tc>
        <w:tc>
          <w:tcPr>
            <w:tcW w:w="905" w:type="pct"/>
            <w:noWrap/>
            <w:vAlign w:val="center"/>
          </w:tcPr>
          <w:p w14:paraId="51DE88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327" w:type="pct"/>
            <w:noWrap w:val="0"/>
            <w:vAlign w:val="center"/>
          </w:tcPr>
          <w:p w14:paraId="6CEED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2CCCF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34" w:type="pct"/>
            <w:noWrap w:val="0"/>
            <w:vAlign w:val="center"/>
          </w:tcPr>
          <w:p w14:paraId="36E94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网布：无异味；甲醛含量：未检出。Ph值A类5.0，染色牢度（耐水、耐酸汗渍、耐碱汗渍、耐干摩擦、耐唾液）均≥4级；阻燃Ⅱ级。可萃取重金属六价铬未检出；可分解致癌芳香胺染料（禁用）未检出。符合GB 18401-2010《国家纺织产品基本安全技术规范》、QB/T 1952.1-2012《软体家具沙发》。</w:t>
            </w:r>
          </w:p>
          <w:p w14:paraId="76DB9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曲木板：坐垫曲木板为14mm多层曲木板热压成型。</w:t>
            </w:r>
          </w:p>
          <w:p w14:paraId="548527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海绵：采用优质品牌高弹海绵，海绵厚度40mm 以上，不塌陷不变形耐用度高。符合GB/T 10802-2006《通用软质聚醚型聚氨酯泡沫塑料》、GB 17927.2-2011《软体家具 床垫和沙发 抗引燃特性的评定 第 2 部分:模拟火柴火焰》、QB/T 1952.1-2012《软体家具 沙发》。颜色均匀，允许轻微杂色、黄芯。不允许有长度大于 6mm 的对穿孔和长度大于 10mm 的气孔。每平方米内弥和裂缝总长小于100mm，最大裂缝小于 30mm。片材两侧斜表皮宽度不超过厚度的一倍，并且最大不得超过40mm，不允许严重污染，无刺激性气味；25%压陷硬度178N；65%/25%压陷比3.1；75%压陷永久变形≤6.4%；回弹率≥59%；拉伸强度≥157kpa；伸长率≥136%；撕裂强度≥7.9N/cm；干热老化后拉伸强度≥118kpa；干热老化后拉伸强度变化率≤±25%；湿热老化后拉伸强度≥55kpa；湿热老化后拉伸强度变化率≤±14%；恒定负荷反复压陷疲劳后40%压陷硬度损失值CP≤33%；甲醛释放量（mg/m²h）未检出，TVOC≤ 0.07 mg/m²h。泡沫塑料-回弹性能≥59%，达到A级；抗引燃性达到Ⅱ级。</w:t>
            </w:r>
          </w:p>
          <w:p w14:paraId="2D314C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椅脚：2.0mm钢管折弯而成，承重102KG下往复拉力测试</w:t>
            </w:r>
          </w:p>
          <w:p w14:paraId="196FD4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标识的权威质量检测部门出具的海绵抽样检测报告扫描件，并加盖投标人公章。</w:t>
            </w:r>
          </w:p>
          <w:p w14:paraId="17D40E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w:t>
            </w:r>
          </w:p>
        </w:tc>
      </w:tr>
      <w:tr w14:paraId="01F3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2AA364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99" w:type="pct"/>
            <w:noWrap w:val="0"/>
            <w:vAlign w:val="center"/>
          </w:tcPr>
          <w:p w14:paraId="2C400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大会议室桌子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7000×2200×750</w:t>
            </w:r>
          </w:p>
        </w:tc>
        <w:tc>
          <w:tcPr>
            <w:tcW w:w="905" w:type="pct"/>
            <w:noWrap/>
            <w:vAlign w:val="center"/>
          </w:tcPr>
          <w:p w14:paraId="3E3D02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32385</wp:posOffset>
                  </wp:positionH>
                  <wp:positionV relativeFrom="paragraph">
                    <wp:posOffset>959485</wp:posOffset>
                  </wp:positionV>
                  <wp:extent cx="852805" cy="514985"/>
                  <wp:effectExtent l="0" t="0" r="4445" b="18415"/>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12"/>
                          <a:stretch>
                            <a:fillRect/>
                          </a:stretch>
                        </pic:blipFill>
                        <pic:spPr>
                          <a:xfrm>
                            <a:off x="0" y="0"/>
                            <a:ext cx="852805" cy="514985"/>
                          </a:xfrm>
                          <a:prstGeom prst="rect">
                            <a:avLst/>
                          </a:prstGeom>
                          <a:noFill/>
                          <a:ln>
                            <a:noFill/>
                          </a:ln>
                        </pic:spPr>
                      </pic:pic>
                    </a:graphicData>
                  </a:graphic>
                </wp:anchor>
              </w:drawing>
            </w:r>
          </w:p>
        </w:tc>
        <w:tc>
          <w:tcPr>
            <w:tcW w:w="327" w:type="pct"/>
            <w:noWrap w:val="0"/>
            <w:vAlign w:val="center"/>
          </w:tcPr>
          <w:p w14:paraId="4D2AA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05C66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noWrap w:val="0"/>
            <w:vAlign w:val="center"/>
          </w:tcPr>
          <w:p w14:paraId="390BC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021DD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0A4A31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6B147F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48A31B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341E3E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27DDF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232BD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08BA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76CA6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99" w:type="pct"/>
            <w:noWrap w:val="0"/>
            <w:vAlign w:val="center"/>
          </w:tcPr>
          <w:p w14:paraId="5B7FB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办公及会议椅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1050×590×550</w:t>
            </w:r>
          </w:p>
        </w:tc>
        <w:tc>
          <w:tcPr>
            <w:tcW w:w="905" w:type="pct"/>
            <w:noWrap/>
            <w:vAlign w:val="center"/>
          </w:tcPr>
          <w:p w14:paraId="4CD0D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205740</wp:posOffset>
                  </wp:positionH>
                  <wp:positionV relativeFrom="paragraph">
                    <wp:posOffset>2298700</wp:posOffset>
                  </wp:positionV>
                  <wp:extent cx="782955" cy="1188720"/>
                  <wp:effectExtent l="0" t="0" r="17145" b="11430"/>
                  <wp:wrapNone/>
                  <wp:docPr id="36" name="图片_24"/>
                  <wp:cNvGraphicFramePr/>
                  <a:graphic xmlns:a="http://schemas.openxmlformats.org/drawingml/2006/main">
                    <a:graphicData uri="http://schemas.openxmlformats.org/drawingml/2006/picture">
                      <pic:pic xmlns:pic="http://schemas.openxmlformats.org/drawingml/2006/picture">
                        <pic:nvPicPr>
                          <pic:cNvPr id="36" name="图片_24"/>
                          <pic:cNvPicPr/>
                        </pic:nvPicPr>
                        <pic:blipFill>
                          <a:blip r:embed="rId11"/>
                          <a:stretch>
                            <a:fillRect/>
                          </a:stretch>
                        </pic:blipFill>
                        <pic:spPr>
                          <a:xfrm>
                            <a:off x="0" y="0"/>
                            <a:ext cx="782955" cy="1188720"/>
                          </a:xfrm>
                          <a:prstGeom prst="rect">
                            <a:avLst/>
                          </a:prstGeom>
                          <a:noFill/>
                          <a:ln>
                            <a:noFill/>
                          </a:ln>
                        </pic:spPr>
                      </pic:pic>
                    </a:graphicData>
                  </a:graphic>
                </wp:anchor>
              </w:drawing>
            </w:r>
          </w:p>
        </w:tc>
        <w:tc>
          <w:tcPr>
            <w:tcW w:w="327" w:type="pct"/>
            <w:noWrap w:val="0"/>
            <w:vAlign w:val="center"/>
          </w:tcPr>
          <w:p w14:paraId="1BA12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7DDA2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534" w:type="pct"/>
            <w:noWrap w:val="0"/>
            <w:vAlign w:val="center"/>
          </w:tcPr>
          <w:p w14:paraId="4D1B22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网布：无异味；甲醛含量：未检出。Ph值A类5.0，染色牢度（耐水、耐酸汗渍、耐碱汗渍、耐干摩擦、耐唾液）均≥4级；阻燃Ⅱ级。可萃取重金属六价铬未检出；可分解致癌芳香胺染料（禁用）未检出。符合GB 18401-2010《国家纺织产品基本安全技术规范》、QB/T 1952.1-2012《软体家具沙发》。</w:t>
            </w:r>
          </w:p>
          <w:p w14:paraId="04E36D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曲木板：坐垫曲木板为14mm多层曲木板热压成型。</w:t>
            </w:r>
          </w:p>
          <w:p w14:paraId="3EA39B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海绵：采用优质品牌高弹海绵，海绵厚度40mm 以上，不塌陷不变形耐用度高。符合GB/T 10802-2006《通用软质聚醚型聚氨酯泡沫塑料》、GB 17927.2-2011《软体家具 床垫和沙发 抗引燃特性的评定 第 2 部分:模拟火柴火焰》、QB/T 1952.1-2012《软体家具 沙发》。颜色均匀，允许轻微杂色、黄芯。不允许有长度大于 6mm 的对穿孔和长度大于 10mm 的气孔。每平方米内弥和裂缝总长小于100mm，最大裂缝小于 30mm。片材两侧斜表皮宽度不超过厚度的一倍，并且最大不得超过40mm，不允许严重污染，无刺激性气味；25%压陷硬度178N；65%/25%压陷比3.1；75%压陷永久变形≤6.4%；回弹率≥59%；拉伸强度≥157kpa；伸长率≥136%；撕裂强度≥7.9N/cm；干热老化后拉伸强度≥118kpa；干热老化后拉伸强度变化率≤±25%；湿热老化后拉伸强度≥55kpa；湿热老化后拉伸强度变化率≤±14%；恒定负荷反复压陷疲劳后40%压陷硬度损失值CP≤33%；甲醛释放量（mg/m²h）未检出，TVOC≤ 0.07 mg/m²h。泡沫塑料-回弹性能≥59%，达到A级；抗引燃性达到Ⅱ级。</w:t>
            </w:r>
          </w:p>
          <w:p w14:paraId="1CD386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椅脚：2.0mm钢管折弯而成，承重102KG下往复拉力测试</w:t>
            </w:r>
          </w:p>
          <w:p w14:paraId="54B2CC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标识的权威质量检测部门出具的海绵抽样检测报告扫描件，并加盖投标人公章。</w:t>
            </w:r>
          </w:p>
          <w:p w14:paraId="43D131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w:t>
            </w:r>
          </w:p>
        </w:tc>
      </w:tr>
      <w:tr w14:paraId="0538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49F75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F3D8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45C4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2D90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1F13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C165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40EA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0A02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6B31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7992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41D8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68007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99" w:type="pct"/>
            <w:noWrap w:val="0"/>
            <w:vAlign w:val="center"/>
          </w:tcPr>
          <w:p w14:paraId="2F844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18FC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0E51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A34B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B52F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3A2D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A9EA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F9B9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92DC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小会议室桌子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4200W×1500D×750H</w:t>
            </w:r>
          </w:p>
        </w:tc>
        <w:tc>
          <w:tcPr>
            <w:tcW w:w="905" w:type="pct"/>
            <w:noWrap/>
            <w:vAlign w:val="center"/>
          </w:tcPr>
          <w:p w14:paraId="27875D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-32385</wp:posOffset>
                  </wp:positionH>
                  <wp:positionV relativeFrom="paragraph">
                    <wp:posOffset>1429385</wp:posOffset>
                  </wp:positionV>
                  <wp:extent cx="995680" cy="487045"/>
                  <wp:effectExtent l="0" t="0" r="13970" b="8255"/>
                  <wp:wrapNone/>
                  <wp:docPr id="37" name="图片_26"/>
                  <wp:cNvGraphicFramePr/>
                  <a:graphic xmlns:a="http://schemas.openxmlformats.org/drawingml/2006/main">
                    <a:graphicData uri="http://schemas.openxmlformats.org/drawingml/2006/picture">
                      <pic:pic xmlns:pic="http://schemas.openxmlformats.org/drawingml/2006/picture">
                        <pic:nvPicPr>
                          <pic:cNvPr id="37" name="图片_26"/>
                          <pic:cNvPicPr/>
                        </pic:nvPicPr>
                        <pic:blipFill>
                          <a:blip r:embed="rId12"/>
                          <a:stretch>
                            <a:fillRect/>
                          </a:stretch>
                        </pic:blipFill>
                        <pic:spPr>
                          <a:xfrm>
                            <a:off x="0" y="0"/>
                            <a:ext cx="995680" cy="487045"/>
                          </a:xfrm>
                          <a:prstGeom prst="rect">
                            <a:avLst/>
                          </a:prstGeom>
                          <a:noFill/>
                          <a:ln>
                            <a:noFill/>
                          </a:ln>
                        </pic:spPr>
                      </pic:pic>
                    </a:graphicData>
                  </a:graphic>
                </wp:anchor>
              </w:drawing>
            </w:r>
          </w:p>
        </w:tc>
        <w:tc>
          <w:tcPr>
            <w:tcW w:w="327" w:type="pct"/>
            <w:noWrap w:val="0"/>
            <w:vAlign w:val="center"/>
          </w:tcPr>
          <w:p w14:paraId="64F10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64F71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34" w:type="pct"/>
            <w:noWrap w:val="0"/>
            <w:vAlign w:val="center"/>
          </w:tcPr>
          <w:p w14:paraId="6BE63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6D638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3DF98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0473B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66BD8A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54029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5045F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97448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2292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1471CB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99" w:type="pct"/>
            <w:noWrap w:val="0"/>
            <w:vAlign w:val="center"/>
          </w:tcPr>
          <w:p w14:paraId="49A11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小会议室桌子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3600W×1400D×760H</w:t>
            </w:r>
          </w:p>
        </w:tc>
        <w:tc>
          <w:tcPr>
            <w:tcW w:w="905" w:type="pct"/>
            <w:noWrap/>
            <w:vAlign w:val="center"/>
          </w:tcPr>
          <w:p w14:paraId="3468F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27305</wp:posOffset>
                  </wp:positionH>
                  <wp:positionV relativeFrom="paragraph">
                    <wp:posOffset>167640</wp:posOffset>
                  </wp:positionV>
                  <wp:extent cx="909320" cy="695960"/>
                  <wp:effectExtent l="0" t="0" r="5080" b="8890"/>
                  <wp:wrapNone/>
                  <wp:docPr id="34" name="图片_27"/>
                  <wp:cNvGraphicFramePr/>
                  <a:graphic xmlns:a="http://schemas.openxmlformats.org/drawingml/2006/main">
                    <a:graphicData uri="http://schemas.openxmlformats.org/drawingml/2006/picture">
                      <pic:pic xmlns:pic="http://schemas.openxmlformats.org/drawingml/2006/picture">
                        <pic:nvPicPr>
                          <pic:cNvPr id="34" name="图片_27"/>
                          <pic:cNvPicPr/>
                        </pic:nvPicPr>
                        <pic:blipFill>
                          <a:blip r:embed="rId12"/>
                          <a:stretch>
                            <a:fillRect/>
                          </a:stretch>
                        </pic:blipFill>
                        <pic:spPr>
                          <a:xfrm>
                            <a:off x="0" y="0"/>
                            <a:ext cx="909320" cy="695960"/>
                          </a:xfrm>
                          <a:prstGeom prst="rect">
                            <a:avLst/>
                          </a:prstGeom>
                          <a:noFill/>
                          <a:ln>
                            <a:noFill/>
                          </a:ln>
                        </pic:spPr>
                      </pic:pic>
                    </a:graphicData>
                  </a:graphic>
                </wp:anchor>
              </w:drawing>
            </w:r>
          </w:p>
        </w:tc>
        <w:tc>
          <w:tcPr>
            <w:tcW w:w="327" w:type="pct"/>
            <w:noWrap w:val="0"/>
            <w:vAlign w:val="center"/>
          </w:tcPr>
          <w:p w14:paraId="5C624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3FCD0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noWrap w:val="0"/>
            <w:vAlign w:val="center"/>
          </w:tcPr>
          <w:p w14:paraId="7ADB8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5F86C6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622D64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46ACEB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C01C9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7C6662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33C045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9CF78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28F5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486F97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99" w:type="pct"/>
            <w:noWrap w:val="0"/>
            <w:vAlign w:val="center"/>
          </w:tcPr>
          <w:p w14:paraId="090DB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1440W×1420D×1100H</w:t>
            </w:r>
          </w:p>
        </w:tc>
        <w:tc>
          <w:tcPr>
            <w:tcW w:w="905" w:type="pct"/>
            <w:noWrap/>
            <w:vAlign w:val="center"/>
          </w:tcPr>
          <w:p w14:paraId="08DF8D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89984" behindDoc="0" locked="0" layoutInCell="1" allowOverlap="1">
                  <wp:simplePos x="0" y="0"/>
                  <wp:positionH relativeFrom="column">
                    <wp:posOffset>101600</wp:posOffset>
                  </wp:positionH>
                  <wp:positionV relativeFrom="paragraph">
                    <wp:posOffset>263525</wp:posOffset>
                  </wp:positionV>
                  <wp:extent cx="810895" cy="1000760"/>
                  <wp:effectExtent l="0" t="0" r="8255" b="8890"/>
                  <wp:wrapNone/>
                  <wp:docPr id="38" name="图片_8"/>
                  <wp:cNvGraphicFramePr/>
                  <a:graphic xmlns:a="http://schemas.openxmlformats.org/drawingml/2006/main">
                    <a:graphicData uri="http://schemas.openxmlformats.org/drawingml/2006/picture">
                      <pic:pic xmlns:pic="http://schemas.openxmlformats.org/drawingml/2006/picture">
                        <pic:nvPicPr>
                          <pic:cNvPr id="38" name="图片_8"/>
                          <pic:cNvPicPr/>
                        </pic:nvPicPr>
                        <pic:blipFill>
                          <a:blip r:embed="rId13"/>
                          <a:stretch>
                            <a:fillRect/>
                          </a:stretch>
                        </pic:blipFill>
                        <pic:spPr>
                          <a:xfrm>
                            <a:off x="0" y="0"/>
                            <a:ext cx="810895" cy="1000760"/>
                          </a:xfrm>
                          <a:prstGeom prst="rect">
                            <a:avLst/>
                          </a:prstGeom>
                          <a:noFill/>
                          <a:ln>
                            <a:noFill/>
                          </a:ln>
                        </pic:spPr>
                      </pic:pic>
                    </a:graphicData>
                  </a:graphic>
                </wp:anchor>
              </w:drawing>
            </w:r>
          </w:p>
        </w:tc>
        <w:tc>
          <w:tcPr>
            <w:tcW w:w="327" w:type="pct"/>
            <w:noWrap w:val="0"/>
            <w:vAlign w:val="center"/>
          </w:tcPr>
          <w:p w14:paraId="7D9FB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20" w:type="pct"/>
            <w:noWrap w:val="0"/>
            <w:vAlign w:val="center"/>
          </w:tcPr>
          <w:p w14:paraId="1F35C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534" w:type="pct"/>
            <w:noWrap w:val="0"/>
            <w:vAlign w:val="center"/>
          </w:tcPr>
          <w:p w14:paraId="003310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绿色环保E0级环保双面成型板，面板厚度25mm。面板尺寸1400*1400，甲醛释放量≤4.1mg/100g。内粘力≥0.7N/MM2，木钉固定力度≥50N/MM2，甲醛释放量≤5mg/L.符合GB/T4897-2015、GB/T35601-2017标准，静曲强度≥14MPa，弹性模量≥2800MPa，内胶合强度≥0.5MPa，表面胶合强度≥1.2MPa，2h吸水厚度膨胀率≤0.8%，板面握螺钉力≥1000N，板边握螺钉力≥700N，甲醛释放量≤0.01mg/m³,产品有害物质（苯、甲、苯、二甲苯）均未检出，总挥发性有机物（TVOC）≤18μg/m³。</w:t>
            </w:r>
          </w:p>
          <w:p w14:paraId="5EC7DE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封边：采用PVC封边条，符合QB/T4463-2013标准，外观、规格尺寸及其偏差和形状公差检测合格；耐干热性无龟裂、无鼓泡，耐磨性磨30r后无露底现象，耐开裂性≥1级，耐老化性无开裂，耐冷热循环性无龟裂、无鼓泡、无变色、无起皱，耐光色牢度4-5级，多溴联苯未检出，多溴联苯醚未检出，甲醛释放量未检出，邻苯二甲酸酯未检出，氯乙烯单台未检出，可迁移元素（铅、镉、铬、汞、砷、钡、锑、硒）含量均未检出。</w:t>
            </w:r>
          </w:p>
          <w:p w14:paraId="125EBA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海蒂诗优质五金配件，其中缓冲铰链符合QB/T2189-2013QB/T3832-1999QB/T3827-1999标准，过载要求：垂直静载荷满足要求，功能：在耐久性试验前后，具有自动关闭装置的杯状暗铰链的关闭力≥2.2N；下沉量≤0.5mm；耐腐蚀（180h乙酸盐雾试验）≥10级。</w:t>
            </w:r>
          </w:p>
          <w:p w14:paraId="206BC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4、屏风用40款氧化铝铝材，铝材厚度大于16mm，采用一体成型挤压。表面抗氧化处理。</w:t>
            </w:r>
          </w:p>
        </w:tc>
      </w:tr>
      <w:tr w14:paraId="2E36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63F093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99" w:type="pct"/>
            <w:noWrap w:val="0"/>
            <w:vAlign w:val="center"/>
          </w:tcPr>
          <w:p w14:paraId="28E00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工位1400*700*750</w:t>
            </w:r>
          </w:p>
        </w:tc>
        <w:tc>
          <w:tcPr>
            <w:tcW w:w="905" w:type="pct"/>
            <w:noWrap/>
            <w:vAlign w:val="center"/>
          </w:tcPr>
          <w:p w14:paraId="785685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91008" behindDoc="0" locked="0" layoutInCell="1" allowOverlap="1">
                  <wp:simplePos x="0" y="0"/>
                  <wp:positionH relativeFrom="column">
                    <wp:posOffset>85725</wp:posOffset>
                  </wp:positionH>
                  <wp:positionV relativeFrom="paragraph">
                    <wp:posOffset>1812925</wp:posOffset>
                  </wp:positionV>
                  <wp:extent cx="914400" cy="838835"/>
                  <wp:effectExtent l="0" t="0" r="0" b="18415"/>
                  <wp:wrapNone/>
                  <wp:docPr id="24" name="图片_10"/>
                  <wp:cNvGraphicFramePr/>
                  <a:graphic xmlns:a="http://schemas.openxmlformats.org/drawingml/2006/main">
                    <a:graphicData uri="http://schemas.openxmlformats.org/drawingml/2006/picture">
                      <pic:pic xmlns:pic="http://schemas.openxmlformats.org/drawingml/2006/picture">
                        <pic:nvPicPr>
                          <pic:cNvPr id="24" name="图片_10"/>
                          <pic:cNvPicPr/>
                        </pic:nvPicPr>
                        <pic:blipFill>
                          <a:blip r:embed="rId14"/>
                          <a:stretch>
                            <a:fillRect/>
                          </a:stretch>
                        </pic:blipFill>
                        <pic:spPr>
                          <a:xfrm>
                            <a:off x="0" y="0"/>
                            <a:ext cx="914400" cy="838835"/>
                          </a:xfrm>
                          <a:prstGeom prst="rect">
                            <a:avLst/>
                          </a:prstGeom>
                          <a:noFill/>
                          <a:ln>
                            <a:noFill/>
                          </a:ln>
                        </pic:spPr>
                      </pic:pic>
                    </a:graphicData>
                  </a:graphic>
                </wp:anchor>
              </w:drawing>
            </w:r>
          </w:p>
        </w:tc>
        <w:tc>
          <w:tcPr>
            <w:tcW w:w="327" w:type="pct"/>
            <w:noWrap w:val="0"/>
            <w:vAlign w:val="center"/>
          </w:tcPr>
          <w:p w14:paraId="53832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20" w:type="pct"/>
            <w:noWrap w:val="0"/>
            <w:vAlign w:val="center"/>
          </w:tcPr>
          <w:p w14:paraId="346D1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534" w:type="pct"/>
            <w:noWrap w:val="0"/>
            <w:vAlign w:val="center"/>
          </w:tcPr>
          <w:p w14:paraId="5A9AF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绿色环保E0级环保双面成型板，面板厚度25mm。面板尺寸1400*1400，甲醛释放量≤4.1mg/100g。内粘力≥0.7N/MM2，木钉固定力度≥50N/MM2，甲醛释放量≤5mg/L.符合GB/T4897-2015、GB/T35601-2017标准，静曲强度≥14MPa，弹性模量≥2800MPa，内胶合强度≥0.5MPa，表面胶合强度≥1.2MPa，2h吸水厚度膨胀率≤0.8%，板面握螺钉力≥1000N，板边握螺钉力≥700N，甲醛释放量≤0.01mg/m³,产品有害物质（苯、甲、苯、二甲苯）均未检出，总挥发性有机物（TVOC）≤18μg/m³。</w:t>
            </w:r>
          </w:p>
          <w:p w14:paraId="1B4FE5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封边：采用PVC封边条，符合QB/T4463-2013标准，外观、规格尺寸及其偏差和形状公差检测合格；耐干热性无龟裂、无鼓泡，耐磨性磨30r后无露底现象，耐开裂性≥1级，耐老化性无开裂，耐冷热循环性无龟裂、无鼓泡、无变色、无起皱，耐光色牢度4-5级，多溴联苯未检出，多溴联苯醚未检出，甲醛释放量未检出，邻苯二甲酸酯未检出，氯乙烯单台未检出，可迁移元素（铅、镉、铬、汞、砷、钡、锑、硒）含量均未检出。</w:t>
            </w:r>
          </w:p>
          <w:p w14:paraId="2A27F5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海蒂诗优质五金配件，其中缓冲铰链符合QB/T2189-2013QB/T3832-1999QB/T3827-1999标准，过载要求：垂直静载荷满足要求，功能：在耐久性试验前后，具有自动关闭装置的杯状暗铰链的关闭力≥2.2N；下沉量≤0.5mm；耐腐蚀（180h乙酸盐雾试验）≥10级。</w:t>
            </w:r>
          </w:p>
          <w:p w14:paraId="76A718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4、屏风用40款氧化铝铝材，铝材厚度大于16mm，采用一体成型挤压。表面抗氧化处理。</w:t>
            </w:r>
          </w:p>
        </w:tc>
      </w:tr>
      <w:tr w14:paraId="79A5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12" w:type="pct"/>
            <w:noWrap w:val="0"/>
            <w:vAlign w:val="center"/>
          </w:tcPr>
          <w:p w14:paraId="7B0947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99" w:type="pct"/>
            <w:noWrap w:val="0"/>
            <w:vAlign w:val="center"/>
          </w:tcPr>
          <w:p w14:paraId="4FC01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12列搬运拆装</w:t>
            </w:r>
          </w:p>
        </w:tc>
        <w:tc>
          <w:tcPr>
            <w:tcW w:w="905" w:type="pct"/>
            <w:noWrap/>
            <w:vAlign w:val="center"/>
          </w:tcPr>
          <w:p w14:paraId="75721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-10160</wp:posOffset>
                  </wp:positionH>
                  <wp:positionV relativeFrom="paragraph">
                    <wp:posOffset>47625</wp:posOffset>
                  </wp:positionV>
                  <wp:extent cx="977900" cy="595630"/>
                  <wp:effectExtent l="0" t="0" r="12700" b="13970"/>
                  <wp:wrapNone/>
                  <wp:docPr id="35" name="图片_7_SpCnt_1"/>
                  <wp:cNvGraphicFramePr/>
                  <a:graphic xmlns:a="http://schemas.openxmlformats.org/drawingml/2006/main">
                    <a:graphicData uri="http://schemas.openxmlformats.org/drawingml/2006/picture">
                      <pic:pic xmlns:pic="http://schemas.openxmlformats.org/drawingml/2006/picture">
                        <pic:nvPicPr>
                          <pic:cNvPr id="35" name="图片_7_SpCnt_1"/>
                          <pic:cNvPicPr/>
                        </pic:nvPicPr>
                        <pic:blipFill>
                          <a:blip r:embed="rId15"/>
                          <a:stretch>
                            <a:fillRect/>
                          </a:stretch>
                        </pic:blipFill>
                        <pic:spPr>
                          <a:xfrm>
                            <a:off x="0" y="0"/>
                            <a:ext cx="977900" cy="595630"/>
                          </a:xfrm>
                          <a:prstGeom prst="rect">
                            <a:avLst/>
                          </a:prstGeom>
                          <a:noFill/>
                          <a:ln>
                            <a:noFill/>
                          </a:ln>
                        </pic:spPr>
                      </pic:pic>
                    </a:graphicData>
                  </a:graphic>
                </wp:anchor>
              </w:drawing>
            </w:r>
          </w:p>
        </w:tc>
        <w:tc>
          <w:tcPr>
            <w:tcW w:w="327" w:type="pct"/>
            <w:noWrap w:val="0"/>
            <w:vAlign w:val="center"/>
          </w:tcPr>
          <w:p w14:paraId="24071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0" w:type="pct"/>
            <w:noWrap w:val="0"/>
            <w:vAlign w:val="center"/>
          </w:tcPr>
          <w:p w14:paraId="5D648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vMerge w:val="restart"/>
            <w:noWrap w:val="0"/>
            <w:vAlign w:val="center"/>
          </w:tcPr>
          <w:p w14:paraId="61BAAB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所有柜体加装双面门,锁密集柜材质说明：主要技术参数</w:t>
            </w:r>
          </w:p>
          <w:p w14:paraId="086DAA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底盘：采用3.0mm宝钢优质冷轧钢板，底盘采用分段焊接后整体组装式，连接牢固，运输、安装方便。底盘各段连接采用M10螺栓紧固，纵梁上按节距冲有矩形槽，槽下焊有夹紧板，以供立柱插入后用M10箍紧拧固。滚轮横梁采用四折成形，确保在外力作用下无任何变形情况发生。底梁下部要装有防倒支架以防架体倾倒，底盘两端封头横梁与纵梁牢固焊接，在直角处上、下两平面均焊上三角形加强板，有效保证了底盘架体不扭曲、错位和变形等。产品设有安全限位，每列密集架根据需要可安装防倒装置和档块，防倒装置为3.0mm宝钢优质冷轧钢板折弯。</w:t>
            </w:r>
          </w:p>
          <w:p w14:paraId="7F57D4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2、地轨、导轨：导轨由20*20mm实心方钢与3.0mm热轧钢板弯制的轨座焊接成形，每米载荷≥1000kg，密集架埋入轨道要求：每两条轨平行偏差不大于1.0mm，在任何1m长度内水平偏差不大于1mm，全长不大于4mm。</w:t>
            </w:r>
          </w:p>
          <w:p w14:paraId="5BDB68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立柱：采用1.5mm宝钢优质冷轧钢板，四次折弯成型，截面35*50mm。立柱两面均布冲裁可上、下调节的挂孔，经四次折弯成矩形柱体，每拼立柱采用上、中、下四根连接横梁焊成整体，并在两侧设置斜拉筋，达到结构坚固合理、美观大方不变形。立柱下端直接插入底盘固定矩形孔内，通过夹紧块将立柱紧锁抱紧于底盘上，螺栓（M10×55带双弹垫，8.8级）坚固，立柱上端与顶板通过螺栓（M8×20带双弹垫，8.8级）紧固，立柱内由套管支撑卡死，使立杆顶部形成整体， 增强了架体的整体刚性。</w:t>
            </w:r>
          </w:p>
          <w:p w14:paraId="2B13BB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4、侧面板：采用1.0mm宝钢优质冷轧钢板，正面凹凸，两旁大圆角的整体设计，视觉如同木质一般厚实典雅。</w:t>
            </w:r>
          </w:p>
          <w:p w14:paraId="69E071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5、门面：门板、门框采用1.0mm宝钢优质冷轧钢板，四次折弯成形，背面中间点焊加强筋，门面把锁一体式优质闪电锁具（宁波望通锁业有限公司生产），整体美观；面门上下两层双开。</w:t>
            </w:r>
          </w:p>
          <w:p w14:paraId="77AEC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6、搁板：采用1.0mm宝钢优质冷轧钢板，每层两块搁板，搁板边缘3次折弯，一次成型；搁板折弯厚度为22mm。单面搁板上均布载重不少于50Kg，双面均布负载不少于100Kg，最大挠度为3mm，24h 卸载后，不得有裂纹及永久变形。</w:t>
            </w:r>
          </w:p>
          <w:p w14:paraId="136C9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挂板：采用1.2mm宝钢优质优质冷轧钢板，两端挂钩采用模具冲裁打弯而成，中间采用腰形拉伸翻边模成形两个台阶加强孔，下端直角折弯，并冲有四个凸槽，使搁板嵌置于弯边凸肩上，组装后平整、牢固、无噪声，层间距按需要沿立柱调节孔可自由调整。</w:t>
            </w:r>
          </w:p>
          <w:p w14:paraId="2BE3C6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8、顶板：采用1.0mm宝钢优质优质冷轧钢板，通过M6螺栓紧固于立柱上端既能加强架体的整体刚性又能起到防尘、防水的作用，为此应加强顶板的钢性，经双面二次折弯，四角对焊，使其成框架结构。</w:t>
            </w:r>
          </w:p>
        </w:tc>
      </w:tr>
      <w:tr w14:paraId="3D71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12" w:type="pct"/>
            <w:noWrap w:val="0"/>
            <w:vAlign w:val="center"/>
          </w:tcPr>
          <w:p w14:paraId="718183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99" w:type="pct"/>
            <w:noWrap w:val="0"/>
            <w:vAlign w:val="center"/>
          </w:tcPr>
          <w:p w14:paraId="0D1C1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3100×3750×2400</w:t>
            </w:r>
          </w:p>
        </w:tc>
        <w:tc>
          <w:tcPr>
            <w:tcW w:w="905" w:type="pct"/>
            <w:noWrap/>
            <w:vAlign w:val="center"/>
          </w:tcPr>
          <w:p w14:paraId="62CA3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28575</wp:posOffset>
                  </wp:positionH>
                  <wp:positionV relativeFrom="paragraph">
                    <wp:posOffset>77470</wp:posOffset>
                  </wp:positionV>
                  <wp:extent cx="911225" cy="690880"/>
                  <wp:effectExtent l="0" t="0" r="3175" b="13970"/>
                  <wp:wrapNone/>
                  <wp:docPr id="30" name="图片_7_SpCnt_2"/>
                  <wp:cNvGraphicFramePr/>
                  <a:graphic xmlns:a="http://schemas.openxmlformats.org/drawingml/2006/main">
                    <a:graphicData uri="http://schemas.openxmlformats.org/drawingml/2006/picture">
                      <pic:pic xmlns:pic="http://schemas.openxmlformats.org/drawingml/2006/picture">
                        <pic:nvPicPr>
                          <pic:cNvPr id="30" name="图片_7_SpCnt_2"/>
                          <pic:cNvPicPr/>
                        </pic:nvPicPr>
                        <pic:blipFill>
                          <a:blip r:embed="rId15"/>
                          <a:stretch>
                            <a:fillRect/>
                          </a:stretch>
                        </pic:blipFill>
                        <pic:spPr>
                          <a:xfrm>
                            <a:off x="0" y="0"/>
                            <a:ext cx="911225" cy="690880"/>
                          </a:xfrm>
                          <a:prstGeom prst="rect">
                            <a:avLst/>
                          </a:prstGeom>
                          <a:noFill/>
                          <a:ln>
                            <a:noFill/>
                          </a:ln>
                        </pic:spPr>
                      </pic:pic>
                    </a:graphicData>
                  </a:graphic>
                </wp:anchor>
              </w:drawing>
            </w:r>
          </w:p>
        </w:tc>
        <w:tc>
          <w:tcPr>
            <w:tcW w:w="327" w:type="pct"/>
            <w:noWrap w:val="0"/>
            <w:vAlign w:val="center"/>
          </w:tcPr>
          <w:p w14:paraId="56F1E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0" w:type="pct"/>
            <w:noWrap w:val="0"/>
            <w:vAlign w:val="center"/>
          </w:tcPr>
          <w:p w14:paraId="09AAC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vMerge w:val="continue"/>
            <w:noWrap w:val="0"/>
            <w:vAlign w:val="center"/>
          </w:tcPr>
          <w:p w14:paraId="4F1FD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DD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12" w:type="pct"/>
            <w:noWrap w:val="0"/>
            <w:vAlign w:val="center"/>
          </w:tcPr>
          <w:p w14:paraId="268565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9" w:type="pct"/>
            <w:noWrap w:val="0"/>
            <w:vAlign w:val="center"/>
          </w:tcPr>
          <w:p w14:paraId="5F112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7440×3750×2400</w:t>
            </w:r>
          </w:p>
        </w:tc>
        <w:tc>
          <w:tcPr>
            <w:tcW w:w="905" w:type="pct"/>
            <w:noWrap/>
            <w:vAlign w:val="center"/>
          </w:tcPr>
          <w:p w14:paraId="20B0C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242570</wp:posOffset>
                  </wp:positionH>
                  <wp:positionV relativeFrom="paragraph">
                    <wp:posOffset>-41275</wp:posOffset>
                  </wp:positionV>
                  <wp:extent cx="485140" cy="638175"/>
                  <wp:effectExtent l="0" t="0" r="10160" b="9525"/>
                  <wp:wrapNone/>
                  <wp:docPr id="29" name="图片_14"/>
                  <wp:cNvGraphicFramePr/>
                  <a:graphic xmlns:a="http://schemas.openxmlformats.org/drawingml/2006/main">
                    <a:graphicData uri="http://schemas.openxmlformats.org/drawingml/2006/picture">
                      <pic:pic xmlns:pic="http://schemas.openxmlformats.org/drawingml/2006/picture">
                        <pic:nvPicPr>
                          <pic:cNvPr id="29" name="图片_14"/>
                          <pic:cNvPicPr/>
                        </pic:nvPicPr>
                        <pic:blipFill>
                          <a:blip r:embed="rId16"/>
                          <a:stretch>
                            <a:fillRect/>
                          </a:stretch>
                        </pic:blipFill>
                        <pic:spPr>
                          <a:xfrm>
                            <a:off x="0" y="0"/>
                            <a:ext cx="485140" cy="638175"/>
                          </a:xfrm>
                          <a:prstGeom prst="rect">
                            <a:avLst/>
                          </a:prstGeom>
                          <a:noFill/>
                          <a:ln>
                            <a:noFill/>
                          </a:ln>
                        </pic:spPr>
                      </pic:pic>
                    </a:graphicData>
                  </a:graphic>
                </wp:anchor>
              </w:drawing>
            </w:r>
          </w:p>
        </w:tc>
        <w:tc>
          <w:tcPr>
            <w:tcW w:w="327" w:type="pct"/>
            <w:noWrap w:val="0"/>
            <w:vAlign w:val="center"/>
          </w:tcPr>
          <w:p w14:paraId="64B2F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0" w:type="pct"/>
            <w:noWrap w:val="0"/>
            <w:vAlign w:val="center"/>
          </w:tcPr>
          <w:p w14:paraId="3934D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vMerge w:val="continue"/>
            <w:noWrap w:val="0"/>
            <w:vAlign w:val="center"/>
          </w:tcPr>
          <w:p w14:paraId="5FA96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F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524C9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99" w:type="pct"/>
            <w:noWrap w:val="0"/>
            <w:vAlign w:val="center"/>
          </w:tcPr>
          <w:p w14:paraId="5E646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管线夜间值班人员被服柜4800×600×2400</w:t>
            </w:r>
          </w:p>
        </w:tc>
        <w:tc>
          <w:tcPr>
            <w:tcW w:w="905" w:type="pct"/>
            <w:noWrap/>
            <w:vAlign w:val="center"/>
          </w:tcPr>
          <w:p w14:paraId="7DFF9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-59055</wp:posOffset>
                  </wp:positionV>
                  <wp:extent cx="939800" cy="701040"/>
                  <wp:effectExtent l="0" t="0" r="12700" b="3810"/>
                  <wp:wrapNone/>
                  <wp:docPr id="32" name="图片_7_SpCnt_3"/>
                  <wp:cNvGraphicFramePr/>
                  <a:graphic xmlns:a="http://schemas.openxmlformats.org/drawingml/2006/main">
                    <a:graphicData uri="http://schemas.openxmlformats.org/drawingml/2006/picture">
                      <pic:pic xmlns:pic="http://schemas.openxmlformats.org/drawingml/2006/picture">
                        <pic:nvPicPr>
                          <pic:cNvPr id="32" name="图片_7_SpCnt_3"/>
                          <pic:cNvPicPr/>
                        </pic:nvPicPr>
                        <pic:blipFill>
                          <a:blip r:embed="rId15"/>
                          <a:stretch>
                            <a:fillRect/>
                          </a:stretch>
                        </pic:blipFill>
                        <pic:spPr>
                          <a:xfrm>
                            <a:off x="0" y="0"/>
                            <a:ext cx="939800" cy="701040"/>
                          </a:xfrm>
                          <a:prstGeom prst="rect">
                            <a:avLst/>
                          </a:prstGeom>
                          <a:noFill/>
                          <a:ln>
                            <a:noFill/>
                          </a:ln>
                        </pic:spPr>
                      </pic:pic>
                    </a:graphicData>
                  </a:graphic>
                </wp:anchor>
              </w:drawing>
            </w:r>
          </w:p>
        </w:tc>
        <w:tc>
          <w:tcPr>
            <w:tcW w:w="327" w:type="pct"/>
            <w:noWrap w:val="0"/>
            <w:vAlign w:val="center"/>
          </w:tcPr>
          <w:p w14:paraId="1EF62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20" w:type="pct"/>
            <w:noWrap w:val="0"/>
            <w:vAlign w:val="center"/>
          </w:tcPr>
          <w:p w14:paraId="3DF2E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34" w:type="pct"/>
            <w:vMerge w:val="restart"/>
            <w:noWrap w:val="0"/>
            <w:vAlign w:val="center"/>
          </w:tcPr>
          <w:p w14:paraId="680E60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05647D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77349D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54C050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063909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1DBE2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5C1A60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11B2F6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17DE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14106A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699" w:type="pct"/>
            <w:noWrap w:val="0"/>
            <w:vAlign w:val="center"/>
          </w:tcPr>
          <w:p w14:paraId="38252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800×400×800</w:t>
            </w:r>
          </w:p>
        </w:tc>
        <w:tc>
          <w:tcPr>
            <w:tcW w:w="905" w:type="pct"/>
            <w:noWrap/>
            <w:vAlign w:val="center"/>
          </w:tcPr>
          <w:p w14:paraId="143D7B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1905</wp:posOffset>
                  </wp:positionH>
                  <wp:positionV relativeFrom="paragraph">
                    <wp:posOffset>1191260</wp:posOffset>
                  </wp:positionV>
                  <wp:extent cx="945515" cy="1050290"/>
                  <wp:effectExtent l="0" t="0" r="6985" b="16510"/>
                  <wp:wrapNone/>
                  <wp:docPr id="21" name="图片_28"/>
                  <wp:cNvGraphicFramePr/>
                  <a:graphic xmlns:a="http://schemas.openxmlformats.org/drawingml/2006/main">
                    <a:graphicData uri="http://schemas.openxmlformats.org/drawingml/2006/picture">
                      <pic:pic xmlns:pic="http://schemas.openxmlformats.org/drawingml/2006/picture">
                        <pic:nvPicPr>
                          <pic:cNvPr id="21" name="图片_28"/>
                          <pic:cNvPicPr/>
                        </pic:nvPicPr>
                        <pic:blipFill>
                          <a:blip r:embed="rId17"/>
                          <a:stretch>
                            <a:fillRect/>
                          </a:stretch>
                        </pic:blipFill>
                        <pic:spPr>
                          <a:xfrm>
                            <a:off x="0" y="0"/>
                            <a:ext cx="945515" cy="1050290"/>
                          </a:xfrm>
                          <a:prstGeom prst="rect">
                            <a:avLst/>
                          </a:prstGeom>
                          <a:noFill/>
                          <a:ln>
                            <a:noFill/>
                          </a:ln>
                        </pic:spPr>
                      </pic:pic>
                    </a:graphicData>
                  </a:graphic>
                </wp:anchor>
              </w:drawing>
            </w:r>
          </w:p>
        </w:tc>
        <w:tc>
          <w:tcPr>
            <w:tcW w:w="327" w:type="pct"/>
            <w:noWrap w:val="0"/>
            <w:vAlign w:val="center"/>
          </w:tcPr>
          <w:p w14:paraId="57A41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64FAC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534" w:type="pct"/>
            <w:vMerge w:val="continue"/>
            <w:noWrap w:val="0"/>
            <w:vAlign w:val="center"/>
          </w:tcPr>
          <w:p w14:paraId="2606E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4D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28BCA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88DD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AD27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716F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D0A8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F00B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7EC6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2E37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9EC3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3F81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91F71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99" w:type="pct"/>
            <w:noWrap w:val="0"/>
            <w:vAlign w:val="center"/>
          </w:tcPr>
          <w:p w14:paraId="01DA7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DAF2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8B46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5977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4336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75F9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966C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5EBC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E5BA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852170</wp:posOffset>
                  </wp:positionH>
                  <wp:positionV relativeFrom="paragraph">
                    <wp:posOffset>176530</wp:posOffset>
                  </wp:positionV>
                  <wp:extent cx="922655" cy="1152525"/>
                  <wp:effectExtent l="0" t="0" r="10795" b="9525"/>
                  <wp:wrapNone/>
                  <wp:docPr id="22" name="图片_29"/>
                  <wp:cNvGraphicFramePr/>
                  <a:graphic xmlns:a="http://schemas.openxmlformats.org/drawingml/2006/main">
                    <a:graphicData uri="http://schemas.openxmlformats.org/drawingml/2006/picture">
                      <pic:pic xmlns:pic="http://schemas.openxmlformats.org/drawingml/2006/picture">
                        <pic:nvPicPr>
                          <pic:cNvPr id="22" name="图片_29"/>
                          <pic:cNvPicPr/>
                        </pic:nvPicPr>
                        <pic:blipFill>
                          <a:blip r:embed="rId18"/>
                          <a:stretch>
                            <a:fillRect/>
                          </a:stretch>
                        </pic:blipFill>
                        <pic:spPr>
                          <a:xfrm>
                            <a:off x="0" y="0"/>
                            <a:ext cx="922655" cy="1152525"/>
                          </a:xfrm>
                          <a:prstGeom prst="rect">
                            <a:avLst/>
                          </a:prstGeom>
                          <a:noFill/>
                          <a:ln>
                            <a:noFill/>
                          </a:ln>
                        </pic:spPr>
                      </pic:pic>
                    </a:graphicData>
                  </a:graphic>
                </wp:anchor>
              </w:drawing>
            </w:r>
          </w:p>
          <w:p w14:paraId="59524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茶水柜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800×400×800</w:t>
            </w:r>
          </w:p>
        </w:tc>
        <w:tc>
          <w:tcPr>
            <w:tcW w:w="905" w:type="pct"/>
            <w:noWrap/>
            <w:vAlign w:val="center"/>
          </w:tcPr>
          <w:p w14:paraId="22CEA4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327" w:type="pct"/>
            <w:noWrap w:val="0"/>
            <w:vAlign w:val="center"/>
          </w:tcPr>
          <w:p w14:paraId="5E939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20" w:type="pct"/>
            <w:noWrap w:val="0"/>
            <w:vAlign w:val="center"/>
          </w:tcPr>
          <w:p w14:paraId="1F6D7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34" w:type="pct"/>
            <w:noWrap w:val="0"/>
            <w:vAlign w:val="center"/>
          </w:tcPr>
          <w:p w14:paraId="795787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3C953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26E088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698AAA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1172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1778FF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17B3C8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73DA30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r>
      <w:tr w14:paraId="609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noWrap w:val="0"/>
            <w:vAlign w:val="center"/>
          </w:tcPr>
          <w:p w14:paraId="6BA99F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99" w:type="pct"/>
            <w:noWrap w:val="0"/>
            <w:vAlign w:val="center"/>
          </w:tcPr>
          <w:p w14:paraId="60978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调度室控制台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1000×900×760／960</w:t>
            </w:r>
          </w:p>
        </w:tc>
        <w:tc>
          <w:tcPr>
            <w:tcW w:w="905" w:type="pct"/>
            <w:noWrap/>
            <w:vAlign w:val="center"/>
          </w:tcPr>
          <w:p w14:paraId="38836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-28575</wp:posOffset>
                  </wp:positionH>
                  <wp:positionV relativeFrom="paragraph">
                    <wp:posOffset>240665</wp:posOffset>
                  </wp:positionV>
                  <wp:extent cx="970280" cy="1008380"/>
                  <wp:effectExtent l="0" t="0" r="1270" b="1270"/>
                  <wp:wrapNone/>
                  <wp:docPr id="40" name="图片_1"/>
                  <wp:cNvGraphicFramePr/>
                  <a:graphic xmlns:a="http://schemas.openxmlformats.org/drawingml/2006/main">
                    <a:graphicData uri="http://schemas.openxmlformats.org/drawingml/2006/picture">
                      <pic:pic xmlns:pic="http://schemas.openxmlformats.org/drawingml/2006/picture">
                        <pic:nvPicPr>
                          <pic:cNvPr id="40" name="图片_1"/>
                          <pic:cNvPicPr/>
                        </pic:nvPicPr>
                        <pic:blipFill>
                          <a:blip r:embed="rId19"/>
                          <a:stretch>
                            <a:fillRect/>
                          </a:stretch>
                        </pic:blipFill>
                        <pic:spPr>
                          <a:xfrm>
                            <a:off x="0" y="0"/>
                            <a:ext cx="970280" cy="1008380"/>
                          </a:xfrm>
                          <a:prstGeom prst="rect">
                            <a:avLst/>
                          </a:prstGeom>
                          <a:noFill/>
                          <a:ln>
                            <a:noFill/>
                          </a:ln>
                        </pic:spPr>
                      </pic:pic>
                    </a:graphicData>
                  </a:graphic>
                </wp:anchor>
              </w:drawing>
            </w:r>
          </w:p>
        </w:tc>
        <w:tc>
          <w:tcPr>
            <w:tcW w:w="327" w:type="pct"/>
            <w:noWrap w:val="0"/>
            <w:vAlign w:val="center"/>
          </w:tcPr>
          <w:p w14:paraId="17DC9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20" w:type="pct"/>
            <w:noWrap w:val="0"/>
            <w:vAlign w:val="center"/>
          </w:tcPr>
          <w:p w14:paraId="0F884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34" w:type="pct"/>
            <w:noWrap w:val="0"/>
            <w:vAlign w:val="center"/>
          </w:tcPr>
          <w:p w14:paraId="00845D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台采用钢木结合拼接结构，采用环保E1级高密度中纤板，硬度高、光滑平整，无味、环保符合国家安全标准，优质绿色环保产品，甲醛符合国家标准，含量在≤1.0mg/L,密度为760g/m3，在经过五底五面反复打磨批灰做油漆，经过30度低温自然干燥，均匀烘干，使表面整光滑，光照可鉴，外观优美时尚极富科技感。高端大气，优雅时尚，油漆色板、产品所有五金经过防水、防烫、防污、防蛀、防碱处理.台面整体厚度不低于25mm；控制台内部主框架为1.0mm-1.2mm冷轧钢板，材料强度不低于10号冷轧钢，经裁剪，冲压，折弯，成型，受外力冲击不易变形，以保证框架结构的稳定，具有优越的承重性，前后门板采用1.0厚的冷轧钢板，金属表面采用不过兴业顶级喷涂涂料，正常光照下可见明显钻石光泽，提升控制台表面质感，作相应的防腐，防锈工艺处理而材质均匀，性能稳定、为了保证散热通风，方便操作与整体环境美观统一。前后门板需采用厚度1.0mm的冷轧钢板制作，门板采用钣金冲孔并且通风率需达到50%以上。门铰链采用高档弹性阻尼无声缓冲铰链，安装方式为快拆式。</w:t>
            </w:r>
          </w:p>
        </w:tc>
      </w:tr>
    </w:tbl>
    <w:p w14:paraId="6268D64A">
      <w:pPr>
        <w:keepNext w:val="0"/>
        <w:keepLines w:val="0"/>
        <w:widowControl w:val="0"/>
        <w:suppressLineNumbers w:val="0"/>
        <w:autoSpaceDE w:val="0"/>
        <w:autoSpaceDN/>
        <w:spacing w:before="0" w:beforeAutospacing="0" w:after="0" w:afterAutospacing="0" w:line="5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注：</w:t>
      </w:r>
    </w:p>
    <w:p w14:paraId="084F2D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1.项目中的参考品牌（科尔米勒、汉威思、龙都）</w:t>
      </w:r>
      <w:r>
        <w:rPr>
          <w:rFonts w:hint="eastAsia" w:asciiTheme="minorEastAsia" w:hAnsiTheme="minorEastAsia" w:eastAsiaTheme="minorEastAsia" w:cstheme="minorEastAsia"/>
          <w:color w:val="FF0000"/>
          <w:kern w:val="2"/>
          <w:sz w:val="24"/>
          <w:szCs w:val="24"/>
          <w:highlight w:val="none"/>
          <w:lang w:val="en-US" w:eastAsia="zh-CN" w:bidi="ar"/>
        </w:rPr>
        <w:t>投标时请注明品牌</w:t>
      </w:r>
      <w:r>
        <w:rPr>
          <w:rFonts w:hint="eastAsia" w:asciiTheme="minorEastAsia" w:hAnsiTheme="minorEastAsia" w:eastAsiaTheme="minorEastAsia" w:cstheme="minorEastAsia"/>
          <w:kern w:val="2"/>
          <w:sz w:val="24"/>
          <w:szCs w:val="24"/>
          <w:lang w:val="en-US" w:eastAsia="zh-CN" w:bidi="ar"/>
        </w:rPr>
        <w:t>，只是参考所采购产品（设备）的档次。报价供应商如拟投产品不在参考品牌之列的，报价货物品牌的技术参数不得低于参考的品牌，同时报价供应商应当在递交询价响应文件三日前向采购单位提供货物的技术资料、相关证明材料及相关的成功使用案例，采购单位将组织进行评审，当三分之二及以上评委认定，所投品牌、型号档次等于或高于参考品牌档次的，将以补充通知的形式在相关网站予以公布，所投品牌档次低于参考品牌档次的，则不予受理。询价响应文件中报价品牌、型号为非参考品牌且未在规定时间内经采购单位评审通过以补充通知形式发布的，将被视作无效报价。</w:t>
      </w:r>
    </w:p>
    <w:p w14:paraId="02E5CC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2.上述采购要求为最低要求，不得负偏离，否则视为无效报价。</w:t>
      </w:r>
    </w:p>
    <w:p w14:paraId="3BE80A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2"/>
          <w:sz w:val="24"/>
          <w:szCs w:val="24"/>
          <w:lang w:val="en-US" w:eastAsia="zh-CN" w:bidi="ar"/>
        </w:rPr>
        <w:t>3.中标人在签订合同前需要提供投标响应品牌的厂家针对本项目的授权函。中标通知书发出后三日内未提供的，视为放弃中标资格。</w:t>
      </w:r>
    </w:p>
    <w:p w14:paraId="5F0B0403">
      <w:pPr>
        <w:snapToGrid w:val="0"/>
        <w:spacing w:line="48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sz w:val="28"/>
          <w:szCs w:val="28"/>
        </w:rPr>
        <w:t>报价要求</w:t>
      </w:r>
    </w:p>
    <w:p w14:paraId="07C52FA5">
      <w:pPr>
        <w:autoSpaceDE w:val="0"/>
        <w:spacing w:line="520" w:lineRule="exact"/>
        <w:ind w:firstLine="480" w:firstLineChars="200"/>
        <w:outlineLvl w:val="0"/>
        <w:rPr>
          <w:rFonts w:hint="eastAsia" w:asciiTheme="minorEastAsia" w:hAnsiTheme="minorEastAsia" w:eastAsiaTheme="minorEastAsia" w:cstheme="minorEastAsia"/>
          <w:spacing w:val="-2"/>
          <w:kern w:val="0"/>
          <w:sz w:val="24"/>
          <w:szCs w:val="24"/>
          <w:highlight w:val="yellow"/>
        </w:rPr>
      </w:pPr>
      <w:r>
        <w:rPr>
          <w:rFonts w:hint="eastAsia" w:asciiTheme="minorEastAsia" w:hAnsiTheme="minorEastAsia" w:eastAsiaTheme="minorEastAsia" w:cstheme="minorEastAsia"/>
          <w:bCs/>
          <w:kern w:val="0"/>
          <w:sz w:val="24"/>
          <w:szCs w:val="24"/>
          <w:highlight w:val="none"/>
        </w:rPr>
        <w:t>1、</w:t>
      </w:r>
      <w:r>
        <w:rPr>
          <w:rFonts w:hint="eastAsia" w:asciiTheme="minorEastAsia" w:hAnsiTheme="minorEastAsia" w:eastAsiaTheme="minorEastAsia" w:cstheme="minorEastAsia"/>
          <w:sz w:val="24"/>
          <w:szCs w:val="24"/>
          <w:highlight w:val="none"/>
        </w:rPr>
        <w:t>设定最高限价：本项目的最高限价为大写人民币：</w:t>
      </w:r>
      <w:r>
        <w:rPr>
          <w:rFonts w:hint="eastAsia" w:asciiTheme="minorEastAsia" w:hAnsiTheme="minorEastAsia" w:eastAsiaTheme="minorEastAsia" w:cstheme="minorEastAsia"/>
          <w:b/>
          <w:bCs/>
          <w:sz w:val="24"/>
          <w:szCs w:val="24"/>
          <w:highlight w:val="none"/>
          <w:u w:val="single"/>
          <w:lang w:val="en-US" w:eastAsia="zh-CN"/>
        </w:rPr>
        <w:t>肆拾陆万叁仟捌佰</w:t>
      </w:r>
      <w:r>
        <w:rPr>
          <w:rFonts w:hint="eastAsia" w:asciiTheme="minorEastAsia" w:hAnsiTheme="minorEastAsia" w:eastAsiaTheme="minorEastAsia" w:cstheme="minorEastAsia"/>
          <w:b/>
          <w:bCs/>
          <w:sz w:val="24"/>
          <w:szCs w:val="24"/>
          <w:highlight w:val="none"/>
          <w:u w:val="single"/>
        </w:rPr>
        <w:t>元整（小写人民币：</w:t>
      </w:r>
      <w:r>
        <w:rPr>
          <w:rFonts w:hint="eastAsia" w:asciiTheme="minorEastAsia" w:hAnsiTheme="minorEastAsia" w:eastAsiaTheme="minorEastAsia" w:cstheme="minorEastAsia"/>
          <w:b/>
          <w:bCs/>
          <w:sz w:val="24"/>
          <w:szCs w:val="24"/>
          <w:highlight w:val="none"/>
          <w:u w:val="single"/>
          <w:lang w:val="en-US" w:eastAsia="zh-CN"/>
        </w:rPr>
        <w:t>463800</w:t>
      </w:r>
      <w:r>
        <w:rPr>
          <w:rFonts w:hint="eastAsia" w:asciiTheme="minorEastAsia" w:hAnsiTheme="minorEastAsia" w:eastAsiaTheme="minorEastAsia" w:cstheme="minorEastAsia"/>
          <w:b/>
          <w:bCs/>
          <w:sz w:val="24"/>
          <w:szCs w:val="24"/>
          <w:highlight w:val="none"/>
          <w:u w:val="single"/>
        </w:rPr>
        <w:t>元）</w:t>
      </w:r>
      <w:r>
        <w:rPr>
          <w:rFonts w:hint="eastAsia" w:asciiTheme="minorEastAsia" w:hAnsiTheme="minorEastAsia" w:eastAsiaTheme="minorEastAsia" w:cstheme="minorEastAsia"/>
          <w:sz w:val="24"/>
          <w:szCs w:val="24"/>
          <w:highlight w:val="none"/>
        </w:rPr>
        <w:t>，供</w:t>
      </w:r>
      <w:r>
        <w:rPr>
          <w:rFonts w:hint="eastAsia" w:asciiTheme="minorEastAsia" w:hAnsiTheme="minorEastAsia" w:eastAsiaTheme="minorEastAsia" w:cstheme="minorEastAsia"/>
          <w:sz w:val="24"/>
          <w:szCs w:val="24"/>
        </w:rPr>
        <w:t>应商所报投标报价超过最高限价的为无效报价。</w:t>
      </w:r>
    </w:p>
    <w:p w14:paraId="7DC01DB5">
      <w:pPr>
        <w:adjustRightInd w:val="0"/>
        <w:spacing w:line="480" w:lineRule="exact"/>
        <w:ind w:firstLine="472" w:firstLineChars="200"/>
        <w:jc w:val="left"/>
        <w:textAlignment w:val="baseline"/>
        <w:rPr>
          <w:rFonts w:hint="eastAsia" w:asciiTheme="minorEastAsia" w:hAnsiTheme="minorEastAsia" w:eastAsiaTheme="minorEastAsia" w:cstheme="minorEastAsia"/>
          <w:spacing w:val="-2"/>
          <w:kern w:val="0"/>
          <w:sz w:val="24"/>
          <w:szCs w:val="24"/>
        </w:rPr>
      </w:pPr>
      <w:r>
        <w:rPr>
          <w:rFonts w:hint="eastAsia" w:asciiTheme="minorEastAsia" w:hAnsiTheme="minorEastAsia" w:eastAsiaTheme="minorEastAsia" w:cstheme="minorEastAsia"/>
          <w:spacing w:val="-2"/>
          <w:kern w:val="0"/>
          <w:sz w:val="24"/>
          <w:szCs w:val="24"/>
        </w:rPr>
        <w:t>2、本项目为固定报价。报价应包含本项目所有涉及的全部费用，包括但不限于下列费用：本项目全部设备、材料及随设备提供的备品备件及专用工具的价格、包装费、运杂费（运抵买方工地现场）、保险费、安装费、设备投运、质保、13%增值税及供应商认为需要的其他所有费用。在安装、调试</w:t>
      </w:r>
      <w:bookmarkStart w:id="1" w:name="_GoBack"/>
      <w:bookmarkEnd w:id="1"/>
      <w:r>
        <w:rPr>
          <w:rFonts w:hint="eastAsia" w:asciiTheme="minorEastAsia" w:hAnsiTheme="minorEastAsia" w:eastAsiaTheme="minorEastAsia" w:cstheme="minorEastAsia"/>
          <w:spacing w:val="-2"/>
          <w:kern w:val="0"/>
          <w:sz w:val="24"/>
          <w:szCs w:val="24"/>
        </w:rPr>
        <w:t>、验收过程中，如发现有漏项、缺件，中标人应无条件、无偿补齐，所发生的一切费用，视为已包含在供应商的投标报价之中，投标时一次包定,不再另行追加，且并不因此而影响交付采购人使用的时间。</w:t>
      </w:r>
    </w:p>
    <w:p w14:paraId="60F69B0B">
      <w:pPr>
        <w:adjustRightInd w:val="0"/>
        <w:spacing w:line="480" w:lineRule="exact"/>
        <w:ind w:firstLine="47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kern w:val="0"/>
          <w:sz w:val="24"/>
          <w:szCs w:val="24"/>
        </w:rPr>
        <w:t>3、本项目招标代理服务费由中标单位承担。招标代理（含编标）服务项目按照《招标代理服务收费管理暂行办法》国家计委【计价格（2002）1980号】规定的60%计取，单个项目招标代理收费最低800元。</w:t>
      </w:r>
    </w:p>
    <w:p w14:paraId="121BD29A">
      <w:pPr>
        <w:snapToGrid w:val="0"/>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五、投标保证金：</w:t>
      </w:r>
      <w:r>
        <w:rPr>
          <w:rFonts w:hint="eastAsia" w:asciiTheme="minorEastAsia" w:hAnsiTheme="minorEastAsia" w:eastAsiaTheme="minorEastAsia" w:cstheme="minorEastAsia"/>
          <w:sz w:val="28"/>
          <w:szCs w:val="28"/>
        </w:rPr>
        <w:t>本项目免收投标保证金。</w:t>
      </w:r>
    </w:p>
    <w:p w14:paraId="3F4BB031">
      <w:pPr>
        <w:snapToGrid w:val="0"/>
        <w:spacing w:line="48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六、履约保证金及付款方式</w:t>
      </w:r>
    </w:p>
    <w:p w14:paraId="1CAD8EA0">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中标后的履约保证金为项目成交价的10%，中标供应商的履约保证金须在成交通知书发出之日起至合同签订前汇入招标单位账户（提交方式：应当以数字人民币、银行转账、网银、电汇、支票、本票、汇票、银行保函、保险保函等形式提交），中标供应商凭中标通知书与招标单位签订合同。超期或未有协商，则视为自动放弃成交资格。</w:t>
      </w:r>
    </w:p>
    <w:p w14:paraId="587114CD">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2、中标供应商在货物装调试完毕验收合格后，招标人一次性退还履约保证金。</w:t>
      </w:r>
    </w:p>
    <w:p w14:paraId="398F1A14">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3、发生以下情况的，履约保证金不予退还或部分退还：</w:t>
      </w:r>
    </w:p>
    <w:p w14:paraId="415A8B65">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签订合同后，中标供应商不履行合同义务的，招标单位有权全额扣除履约保证金，全额不予退还，同时招标单位亦有权终止合同，中标供应商还须承担相应的法律赔偿责任，并列入启东市自来水厂有限公司、启东市吕四自来水厂有限公司黑名单。</w:t>
      </w:r>
    </w:p>
    <w:p w14:paraId="0659CB9B">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b.中标供应商在履约过程中发生违约行为，给招标单位造成损失的，招标单位有权在中标供应商缴纳的履约保证金中予以扣款，以弥补招标单位经济损失，不足的部分中标供应商另外补齐。</w:t>
      </w:r>
    </w:p>
    <w:p w14:paraId="4F5A5328">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4、付款方式</w:t>
      </w:r>
    </w:p>
    <w:p w14:paraId="372600F6">
      <w:pPr>
        <w:pStyle w:val="8"/>
        <w:widowControl/>
        <w:spacing w:line="480" w:lineRule="exact"/>
        <w:ind w:left="0"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货物安装调试完毕验收合格并在无故障运行一个月后付合同价的90%，余款10%于质保服务期满（从验收合格之日算起）无质量问题后付清。</w:t>
      </w:r>
    </w:p>
    <w:p w14:paraId="13BCF037">
      <w:pPr>
        <w:pStyle w:val="8"/>
        <w:widowControl/>
        <w:spacing w:line="480" w:lineRule="exact"/>
        <w:ind w:left="0"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乙方应根据甲方要求开具发票，付款时间为甲方收到乙方开具的增值税发票后45日内。</w:t>
      </w:r>
    </w:p>
    <w:p w14:paraId="2B16BA0F">
      <w:pPr>
        <w:pStyle w:val="8"/>
        <w:widowControl/>
        <w:spacing w:line="480" w:lineRule="exact"/>
        <w:ind w:left="0"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七、报价文件截止时间，开标时间、地点</w:t>
      </w:r>
    </w:p>
    <w:p w14:paraId="1C465380">
      <w:pPr>
        <w:autoSpaceDE w:val="0"/>
        <w:autoSpaceDN w:val="0"/>
        <w:adjustRightInd w:val="0"/>
        <w:spacing w:line="480" w:lineRule="exact"/>
        <w:ind w:firstLine="480" w:firstLineChars="200"/>
        <w:jc w:val="left"/>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投标人于2024年</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日下午</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:00-1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:30 之间将报价文件送达至启东城投集团有限公司(金沙江路672号)二楼开标室。本项目不接收邮寄。</w:t>
      </w:r>
    </w:p>
    <w:p w14:paraId="1011039A">
      <w:pPr>
        <w:autoSpaceDE w:val="0"/>
        <w:autoSpaceDN w:val="0"/>
        <w:adjustRightInd w:val="0"/>
        <w:spacing w:line="48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开标时间：2024年</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日下午1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:30（北京时间）</w:t>
      </w:r>
    </w:p>
    <w:p w14:paraId="58D51FBB">
      <w:pPr>
        <w:snapToGrid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开标地点：启东城投集团有限公司(金沙江路672号)二楼开标室</w:t>
      </w:r>
    </w:p>
    <w:p w14:paraId="3D34AC0C">
      <w:pPr>
        <w:snapToGrid w:val="0"/>
        <w:spacing w:line="48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八、报价文件构成</w:t>
      </w:r>
    </w:p>
    <w:p w14:paraId="17992F7B">
      <w:pPr>
        <w:snapToGrid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（1）投标人符合《政府采购法》第二十二条规定条件的承诺函（格式见附件1）；</w:t>
      </w:r>
    </w:p>
    <w:p w14:paraId="68E65F49">
      <w:pPr>
        <w:snapToGrid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（2）报价承诺书（按照附件2格式填写）；</w:t>
      </w:r>
    </w:p>
    <w:p w14:paraId="12562F59">
      <w:pPr>
        <w:snapToGrid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（3）企业法人营业执照复印件（加盖报价单位公章）；</w:t>
      </w:r>
    </w:p>
    <w:p w14:paraId="138C4F23">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（4）法定代表人身份证明书及法定代表人身份证复印件（按照附件3格式填写）；</w:t>
      </w:r>
    </w:p>
    <w:p w14:paraId="19FAB7D0">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）法定代表人授权委托书及被授权人身份证复印件（按照附件4格式填写）；</w:t>
      </w:r>
    </w:p>
    <w:p w14:paraId="0E5FCA68">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）质保承诺书（按照附件6格式填写）；</w:t>
      </w:r>
    </w:p>
    <w:p w14:paraId="0C337895">
      <w:pPr>
        <w:snapToGrid w:val="0"/>
        <w:spacing w:line="48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）报价表：报价表须按提供的报价样表格式填写（按照附件三格式填写），如有其他情况需要说明的，可附页说明。所有页面均须加盖单位公章，否则视为无效报价；</w:t>
      </w:r>
    </w:p>
    <w:p w14:paraId="75C9F1C8">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）参加采购活动前3年内在经营活动中没有重大违法记录的书面声明（按照附件7格式填写，加盖报价单位公章）。</w:t>
      </w:r>
    </w:p>
    <w:p w14:paraId="275647B5">
      <w:pPr>
        <w:snapToGrid w:val="0"/>
        <w:spacing w:line="48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p w14:paraId="519B1C8F">
      <w:pPr>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报价文件正本一份、副本两份，报价文件中必须包含上述要求提供的所有材料的复印件并加盖单位公章（副本可为复印件）。报价文件装订成册并密封，密封袋上标明：项目名称、报价单位名称，否则视为无效报价</w:t>
      </w:r>
      <w:r>
        <w:rPr>
          <w:rFonts w:hint="eastAsia" w:asciiTheme="minorEastAsia" w:hAnsiTheme="minorEastAsia" w:eastAsiaTheme="minorEastAsia" w:cstheme="minorEastAsia"/>
          <w:bCs/>
          <w:sz w:val="24"/>
          <w:szCs w:val="24"/>
        </w:rPr>
        <w:t>。</w:t>
      </w:r>
    </w:p>
    <w:p w14:paraId="40B70E66">
      <w:pPr>
        <w:pStyle w:val="6"/>
        <w:spacing w:after="0" w:line="48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九、成交原则：</w:t>
      </w:r>
    </w:p>
    <w:p w14:paraId="02FB7814">
      <w:pPr>
        <w:pStyle w:val="6"/>
        <w:spacing w:after="0"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1.符合采购需求且以有效报价中的最低报价者中标。若总价最低者有相同时，通过抽签方式确定成交供应商。                               </w:t>
      </w:r>
    </w:p>
    <w:p w14:paraId="00D05BFD">
      <w:pPr>
        <w:pStyle w:val="6"/>
        <w:spacing w:after="0"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2.当第一中标候选人放弃中标、因不可抗力不能履行合同、不按照询价公告要求提交履约保证金，或者被查实存在影响中标结果的违法行为等情形，不符合中标条件的，采购人依法重新招标。</w:t>
      </w:r>
    </w:p>
    <w:p w14:paraId="3CB5F70B">
      <w:pPr>
        <w:pStyle w:val="6"/>
        <w:spacing w:after="0"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3.本办法未尽事宜，由评标委员会依据相关法规研究确定。</w:t>
      </w:r>
    </w:p>
    <w:p w14:paraId="7F18FB69">
      <w:pPr>
        <w:pStyle w:val="6"/>
        <w:spacing w:after="0" w:line="480" w:lineRule="exact"/>
        <w:ind w:left="420" w:left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十、特别说明</w:t>
      </w:r>
    </w:p>
    <w:p w14:paraId="332CCBE8">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1、投标人不足三家或经评审有效投标人不足三家的，将组织重新招标。</w:t>
      </w:r>
    </w:p>
    <w:p w14:paraId="2026F0AE">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2、投标人有以下情况的，招标人有权按城投公司供应商考核办法予以处理，情节严重的将移除供应商库。</w:t>
      </w:r>
    </w:p>
    <w:p w14:paraId="74CB4F44">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（1）无故不参加投标报价的；</w:t>
      </w:r>
    </w:p>
    <w:p w14:paraId="4D055A24">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（2）参加串标、围标活动的；</w:t>
      </w:r>
    </w:p>
    <w:p w14:paraId="51CC45E8">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（3）提供虚假资料的；</w:t>
      </w:r>
    </w:p>
    <w:p w14:paraId="65194CA4">
      <w:pPr>
        <w:pStyle w:val="6"/>
        <w:spacing w:after="0"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（4）中标后违约的。</w:t>
      </w:r>
    </w:p>
    <w:p w14:paraId="116D44B1">
      <w:pPr>
        <w:pStyle w:val="8"/>
        <w:widowControl/>
        <w:spacing w:line="480" w:lineRule="exact"/>
        <w:ind w:left="0"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十二、合同的签订及注意事项：</w:t>
      </w:r>
    </w:p>
    <w:p w14:paraId="50018079">
      <w:pPr>
        <w:spacing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1、成交结果将在启东市自来水厂有限公司网上予以公布，公示期为一个工作日，公示期内对成交结果没有异议的，将确定成交候选人为成交供应商。</w:t>
      </w:r>
    </w:p>
    <w:p w14:paraId="572A6133">
      <w:pPr>
        <w:spacing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2、签订合同</w:t>
      </w:r>
    </w:p>
    <w:p w14:paraId="697A30D0">
      <w:pPr>
        <w:spacing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（1）询价公告、补充文件及成交供应商的报价文件等均为签订合同的依据。</w:t>
      </w:r>
    </w:p>
    <w:p w14:paraId="120CD4C5">
      <w:pPr>
        <w:spacing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（2）成交供应商必须在中标（成交）通知书发出之日起十五日内，按照询价公告确定的事项与采购人签订采购合同。</w:t>
      </w:r>
    </w:p>
    <w:p w14:paraId="5C92C9A8">
      <w:pPr>
        <w:spacing w:line="48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0BAB03DB">
      <w:pPr>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成交供应商因自身原因不能履行采购合同的，采购单位将取消其成交资格，履约保证金不予退还，同时相关主管部门将对成交供应商作以下处理：记入不良信誉，并按《政府采购法》有关规定，暂停其在城投集团及下属子公司的采购资格。</w:t>
      </w:r>
    </w:p>
    <w:p w14:paraId="191993DF">
      <w:pPr>
        <w:wordWrap w:val="0"/>
        <w:snapToGrid w:val="0"/>
        <w:ind w:left="4753" w:leftChars="1330" w:hanging="1960" w:hangingChars="700"/>
        <w:rPr>
          <w:rFonts w:asciiTheme="minorEastAsia" w:hAnsiTheme="minorEastAsia" w:eastAsiaTheme="minorEastAsia" w:cstheme="minorEastAsia"/>
          <w:sz w:val="28"/>
          <w:szCs w:val="28"/>
        </w:rPr>
      </w:pPr>
    </w:p>
    <w:p w14:paraId="2C7B6804"/>
    <w:p w14:paraId="0F934D04">
      <w:pPr>
        <w:wordWrap w:val="0"/>
        <w:snapToGrid w:val="0"/>
        <w:spacing w:line="360" w:lineRule="auto"/>
        <w:jc w:val="center"/>
        <w:rPr>
          <w:rFonts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招标人（盖章）：启东市自来水厂有限公司</w:t>
      </w:r>
    </w:p>
    <w:p w14:paraId="7208AA7E">
      <w:pPr>
        <w:snapToGrid w:val="0"/>
        <w:spacing w:line="360" w:lineRule="auto"/>
        <w:ind w:firstLine="2520" w:firstLineChars="9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施健</w:t>
      </w:r>
    </w:p>
    <w:p w14:paraId="0227F980">
      <w:pPr>
        <w:snapToGrid w:val="0"/>
        <w:spacing w:line="360" w:lineRule="auto"/>
        <w:ind w:right="140" w:firstLine="2520" w:firstLineChars="9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联系电话：13906285685</w:t>
      </w:r>
    </w:p>
    <w:p w14:paraId="481E7819">
      <w:pPr>
        <w:snapToGrid w:val="0"/>
        <w:spacing w:line="360" w:lineRule="auto"/>
        <w:ind w:firstLine="2520" w:firstLineChars="9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日期：2024年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日</w:t>
      </w:r>
    </w:p>
    <w:p w14:paraId="4CC21C34">
      <w:pPr>
        <w:spacing w:line="360" w:lineRule="auto"/>
        <w:rPr>
          <w:rFonts w:asciiTheme="minorEastAsia" w:hAnsiTheme="minorEastAsia" w:eastAsiaTheme="minorEastAsia" w:cstheme="minorEastAsia"/>
          <w:b/>
          <w:sz w:val="28"/>
          <w:szCs w:val="28"/>
        </w:rPr>
        <w:sectPr>
          <w:headerReference r:id="rId3" w:type="default"/>
          <w:footerReference r:id="rId4" w:type="default"/>
          <w:pgSz w:w="11907" w:h="16840"/>
          <w:pgMar w:top="1531" w:right="1701" w:bottom="779" w:left="1701" w:header="851" w:footer="992" w:gutter="0"/>
          <w:cols w:space="720" w:num="1"/>
          <w:docGrid w:type="linesAndChars" w:linePitch="312" w:charSpace="0"/>
        </w:sectPr>
      </w:pPr>
    </w:p>
    <w:p w14:paraId="0BDDC3D3">
      <w:pPr>
        <w:spacing w:line="440" w:lineRule="exact"/>
        <w:rPr>
          <w:rFonts w:ascii="宋体" w:hAnsi="宋体"/>
          <w:b/>
          <w:sz w:val="28"/>
          <w:szCs w:val="28"/>
        </w:rPr>
      </w:pPr>
      <w:r>
        <w:rPr>
          <w:rFonts w:hint="eastAsia" w:ascii="宋体" w:hAnsi="宋体"/>
          <w:b/>
          <w:sz w:val="28"/>
        </w:rPr>
        <w:t>附件1：</w:t>
      </w:r>
    </w:p>
    <w:p w14:paraId="5131B6E4">
      <w:pPr>
        <w:jc w:val="center"/>
        <w:rPr>
          <w:rFonts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13ACBDD3">
      <w:pPr>
        <w:spacing w:line="460" w:lineRule="exact"/>
        <w:rPr>
          <w:rFonts w:ascii="宋体" w:hAnsi="宋体"/>
          <w:b/>
          <w:bCs/>
          <w:color w:val="000000"/>
          <w:sz w:val="44"/>
          <w:szCs w:val="44"/>
        </w:rPr>
      </w:pPr>
    </w:p>
    <w:p w14:paraId="3A7B78B1">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u w:val="single"/>
          <w:lang w:val="en-US" w:eastAsia="zh-CN"/>
        </w:rPr>
        <w:t xml:space="preserve">                 </w:t>
      </w:r>
      <w:r>
        <w:rPr>
          <w:rFonts w:hint="eastAsia" w:ascii="宋体" w:hAnsi="宋体"/>
          <w:bCs/>
          <w:color w:val="000000"/>
          <w:sz w:val="24"/>
          <w:szCs w:val="21"/>
        </w:rPr>
        <w:t>（项目名称）投标活动。针对《中华人民共和国政府采购法》第二十二条规定做出如下声明：</w:t>
      </w:r>
    </w:p>
    <w:p w14:paraId="6B08BA9F">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1C89B40B">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3A9DC649">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1809EA83">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4BF8652C">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06D88B2">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1AFB4249">
      <w:pPr>
        <w:spacing w:line="500" w:lineRule="exact"/>
        <w:ind w:firstLine="482"/>
        <w:rPr>
          <w:rFonts w:ascii="宋体" w:hAnsi="宋体"/>
          <w:color w:val="000000"/>
          <w:sz w:val="24"/>
        </w:rPr>
      </w:pPr>
    </w:p>
    <w:p w14:paraId="1DB6BC2E">
      <w:pPr>
        <w:spacing w:line="500" w:lineRule="exact"/>
        <w:rPr>
          <w:rFonts w:ascii="宋体" w:hAnsi="宋体"/>
          <w:color w:val="000000"/>
          <w:sz w:val="24"/>
        </w:rPr>
      </w:pPr>
    </w:p>
    <w:p w14:paraId="6B641A98">
      <w:pPr>
        <w:spacing w:line="500" w:lineRule="exact"/>
        <w:rPr>
          <w:rFonts w:ascii="宋体" w:hAnsi="宋体"/>
          <w:bCs/>
          <w:color w:val="000000"/>
          <w:sz w:val="24"/>
          <w:szCs w:val="21"/>
        </w:rPr>
      </w:pPr>
    </w:p>
    <w:p w14:paraId="7918DD30">
      <w:pPr>
        <w:spacing w:line="500" w:lineRule="exact"/>
        <w:rPr>
          <w:rFonts w:ascii="宋体" w:hAnsi="宋体"/>
          <w:bCs/>
          <w:color w:val="000000"/>
          <w:sz w:val="24"/>
          <w:szCs w:val="21"/>
        </w:rPr>
      </w:pPr>
    </w:p>
    <w:p w14:paraId="50DFEFE7">
      <w:pPr>
        <w:spacing w:line="500" w:lineRule="exact"/>
        <w:rPr>
          <w:rFonts w:ascii="宋体" w:hAnsi="宋体"/>
          <w:bCs/>
          <w:color w:val="000000"/>
          <w:sz w:val="24"/>
          <w:szCs w:val="21"/>
        </w:rPr>
      </w:pPr>
    </w:p>
    <w:p w14:paraId="058FE926">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7E0362CD">
      <w:pPr>
        <w:spacing w:line="460" w:lineRule="exact"/>
        <w:jc w:val="right"/>
        <w:rPr>
          <w:rFonts w:ascii="宋体" w:hAnsi="宋体"/>
          <w:bCs/>
          <w:color w:val="000000"/>
          <w:sz w:val="24"/>
          <w:szCs w:val="21"/>
        </w:rPr>
      </w:pPr>
    </w:p>
    <w:p w14:paraId="32917501">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年月日</w:t>
      </w:r>
    </w:p>
    <w:p w14:paraId="7B129DF0">
      <w:pPr>
        <w:spacing w:line="500" w:lineRule="exact"/>
        <w:jc w:val="center"/>
        <w:rPr>
          <w:rFonts w:ascii="宋体" w:hAnsi="宋体" w:cs="宋体"/>
          <w:b/>
          <w:sz w:val="44"/>
          <w:szCs w:val="44"/>
        </w:rPr>
      </w:pPr>
    </w:p>
    <w:p w14:paraId="25D0B956">
      <w:pPr>
        <w:spacing w:line="500" w:lineRule="exact"/>
        <w:jc w:val="center"/>
        <w:rPr>
          <w:rFonts w:ascii="宋体" w:hAnsi="宋体" w:cs="宋体"/>
          <w:b/>
          <w:sz w:val="44"/>
          <w:szCs w:val="44"/>
        </w:rPr>
      </w:pPr>
    </w:p>
    <w:p w14:paraId="6DDDBCA1">
      <w:pPr>
        <w:spacing w:line="500" w:lineRule="exact"/>
        <w:jc w:val="center"/>
        <w:rPr>
          <w:rFonts w:ascii="宋体" w:hAnsi="宋体" w:cs="宋体"/>
          <w:b/>
          <w:sz w:val="44"/>
          <w:szCs w:val="44"/>
        </w:rPr>
      </w:pPr>
    </w:p>
    <w:p w14:paraId="19759CD9">
      <w:pPr>
        <w:spacing w:line="440" w:lineRule="exact"/>
        <w:rPr>
          <w:rFonts w:ascii="宋体" w:hAnsi="宋体"/>
          <w:b/>
          <w:sz w:val="28"/>
          <w:szCs w:val="28"/>
        </w:rPr>
      </w:pPr>
      <w:r>
        <w:rPr>
          <w:rFonts w:hint="eastAsia" w:ascii="宋体" w:hAnsi="宋体"/>
          <w:b/>
          <w:sz w:val="28"/>
        </w:rPr>
        <w:t>附件2：</w:t>
      </w:r>
    </w:p>
    <w:p w14:paraId="4D7BBDCB">
      <w:pPr>
        <w:spacing w:line="500" w:lineRule="exact"/>
        <w:rPr>
          <w:rFonts w:ascii="宋体" w:hAnsi="宋体" w:cs="宋体"/>
          <w:b/>
          <w:sz w:val="44"/>
          <w:szCs w:val="44"/>
        </w:rPr>
      </w:pPr>
    </w:p>
    <w:p w14:paraId="296F058F">
      <w:pPr>
        <w:pStyle w:val="6"/>
      </w:pPr>
    </w:p>
    <w:p w14:paraId="1F9291ED">
      <w:pPr>
        <w:spacing w:line="560" w:lineRule="exact"/>
        <w:jc w:val="center"/>
        <w:rPr>
          <w:rFonts w:ascii="宋体" w:hAnsi="宋体"/>
          <w:b/>
          <w:bCs/>
          <w:sz w:val="32"/>
          <w:szCs w:val="32"/>
        </w:rPr>
      </w:pPr>
      <w:r>
        <w:rPr>
          <w:rFonts w:hint="eastAsia" w:ascii="宋体" w:hAnsi="宋体"/>
          <w:b/>
          <w:bCs/>
          <w:sz w:val="32"/>
          <w:szCs w:val="32"/>
        </w:rPr>
        <w:t>报价承诺书</w:t>
      </w:r>
    </w:p>
    <w:p w14:paraId="1E8B8D62">
      <w:pPr>
        <w:spacing w:beforeLines="50" w:afterLines="50" w:line="500" w:lineRule="exact"/>
        <w:rPr>
          <w:rFonts w:ascii="宋体" w:hAnsi="宋体"/>
          <w:sz w:val="28"/>
          <w:szCs w:val="28"/>
        </w:rPr>
      </w:pPr>
      <w:r>
        <w:rPr>
          <w:rFonts w:hint="eastAsia" w:ascii="宋体" w:hAnsi="宋体"/>
          <w:sz w:val="28"/>
          <w:szCs w:val="28"/>
        </w:rPr>
        <w:t>启东市自来水厂有限公司：</w:t>
      </w:r>
    </w:p>
    <w:p w14:paraId="0B3BB99E">
      <w:pPr>
        <w:wordWrap w:val="0"/>
        <w:snapToGrid w:val="0"/>
        <w:spacing w:line="500" w:lineRule="exact"/>
        <w:ind w:firstLine="560" w:firstLineChars="200"/>
        <w:jc w:val="left"/>
        <w:rPr>
          <w:rFonts w:ascii="宋体" w:hAnsi="宋体"/>
          <w:b/>
          <w:sz w:val="28"/>
          <w:szCs w:val="28"/>
        </w:rPr>
      </w:pPr>
      <w:r>
        <w:rPr>
          <w:rFonts w:hint="eastAsia" w:ascii="宋体" w:hAnsi="宋体"/>
          <w:sz w:val="28"/>
          <w:szCs w:val="28"/>
          <w:u w:val="single"/>
        </w:rPr>
        <w:t>（报价单位全称）</w:t>
      </w:r>
      <w:r>
        <w:rPr>
          <w:rFonts w:hint="eastAsia" w:ascii="宋体" w:hAnsi="宋体"/>
          <w:sz w:val="28"/>
          <w:szCs w:val="28"/>
        </w:rPr>
        <w:t>授权</w:t>
      </w:r>
      <w:r>
        <w:rPr>
          <w:rFonts w:hint="eastAsia" w:ascii="宋体" w:hAnsi="宋体"/>
          <w:sz w:val="28"/>
          <w:szCs w:val="28"/>
          <w:u w:val="single"/>
        </w:rPr>
        <w:t>（姓  名）（职  务）</w:t>
      </w:r>
      <w:r>
        <w:rPr>
          <w:rFonts w:hint="eastAsia" w:ascii="宋体" w:hAnsi="宋体"/>
          <w:sz w:val="28"/>
          <w:szCs w:val="28"/>
        </w:rPr>
        <w:t>为全权代表，参加</w:t>
      </w:r>
      <w:r>
        <w:rPr>
          <w:rFonts w:hint="eastAsia" w:ascii="宋体" w:hAnsi="宋体" w:cs="宋体"/>
          <w:b/>
          <w:bCs/>
          <w:sz w:val="28"/>
          <w:szCs w:val="28"/>
          <w:u w:val="single"/>
          <w:lang w:eastAsia="zh-CN"/>
        </w:rPr>
        <w:t>启东市自来水厂有限公司新办公点办公家具采购项目</w:t>
      </w:r>
      <w:r>
        <w:rPr>
          <w:rFonts w:hint="eastAsia" w:ascii="宋体" w:hAnsi="宋体"/>
          <w:sz w:val="28"/>
          <w:szCs w:val="28"/>
        </w:rPr>
        <w:t>询价的有关活动，并宣布同意如下：</w:t>
      </w:r>
    </w:p>
    <w:p w14:paraId="54D480BD">
      <w:pPr>
        <w:spacing w:line="500" w:lineRule="exact"/>
        <w:ind w:firstLine="560" w:firstLineChars="200"/>
        <w:rPr>
          <w:rFonts w:ascii="宋体" w:hAnsi="宋体"/>
          <w:sz w:val="28"/>
          <w:szCs w:val="28"/>
        </w:rPr>
      </w:pPr>
      <w:r>
        <w:rPr>
          <w:rFonts w:hint="eastAsia" w:ascii="宋体" w:hAnsi="宋体"/>
          <w:sz w:val="28"/>
          <w:szCs w:val="28"/>
        </w:rPr>
        <w:t>1．我方愿意按照询价公告的全部要求进行报价（报价内容及价格以报价文件为准）。</w:t>
      </w:r>
    </w:p>
    <w:p w14:paraId="44FEEA55">
      <w:pPr>
        <w:spacing w:line="500" w:lineRule="exact"/>
        <w:ind w:firstLine="560" w:firstLineChars="200"/>
        <w:rPr>
          <w:rFonts w:ascii="宋体" w:hAnsi="宋体"/>
          <w:sz w:val="28"/>
          <w:szCs w:val="28"/>
        </w:rPr>
      </w:pPr>
      <w:r>
        <w:rPr>
          <w:rFonts w:hint="eastAsia" w:ascii="宋体" w:hAnsi="宋体"/>
          <w:sz w:val="28"/>
          <w:szCs w:val="28"/>
        </w:rPr>
        <w:t>2．我方完全理解并同意放弃对询价公告有不明及误解的权利。</w:t>
      </w:r>
    </w:p>
    <w:p w14:paraId="3BC1F65C">
      <w:pPr>
        <w:spacing w:line="500" w:lineRule="exact"/>
        <w:ind w:firstLine="560" w:firstLineChars="200"/>
        <w:rPr>
          <w:rFonts w:ascii="宋体" w:hAnsi="宋体"/>
          <w:sz w:val="28"/>
          <w:szCs w:val="28"/>
        </w:rPr>
      </w:pPr>
      <w:r>
        <w:rPr>
          <w:rFonts w:hint="eastAsia" w:ascii="宋体" w:hAnsi="宋体"/>
          <w:sz w:val="28"/>
          <w:szCs w:val="28"/>
        </w:rPr>
        <w:t>3．我方将按询价公告的规定履行合同责任和义务。</w:t>
      </w:r>
    </w:p>
    <w:p w14:paraId="3E512577">
      <w:pPr>
        <w:spacing w:line="500" w:lineRule="exact"/>
        <w:ind w:firstLine="560" w:firstLineChars="200"/>
        <w:rPr>
          <w:rFonts w:ascii="宋体" w:hAnsi="宋体"/>
          <w:sz w:val="28"/>
          <w:szCs w:val="28"/>
        </w:rPr>
      </w:pPr>
      <w:r>
        <w:rPr>
          <w:rFonts w:hint="eastAsia" w:ascii="宋体" w:hAnsi="宋体"/>
          <w:sz w:val="28"/>
          <w:szCs w:val="28"/>
        </w:rPr>
        <w:t>4．我方同意提供按照贵方可能要求的与其报价有关的一切数据或资料，理解并同意贵方的评标办法。</w:t>
      </w:r>
    </w:p>
    <w:p w14:paraId="3245C51E">
      <w:pPr>
        <w:spacing w:line="500" w:lineRule="exact"/>
        <w:ind w:firstLine="560" w:firstLineChars="200"/>
        <w:rPr>
          <w:rFonts w:ascii="宋体" w:hAnsi="宋体"/>
          <w:sz w:val="28"/>
          <w:szCs w:val="28"/>
        </w:rPr>
      </w:pPr>
      <w:r>
        <w:rPr>
          <w:rFonts w:hint="eastAsia" w:ascii="宋体" w:hAnsi="宋体"/>
          <w:sz w:val="28"/>
          <w:szCs w:val="28"/>
        </w:rPr>
        <w:t>5．我方的报价文件自开标后60天内有效。</w:t>
      </w:r>
    </w:p>
    <w:p w14:paraId="20CCF7D0">
      <w:pPr>
        <w:spacing w:line="500" w:lineRule="exact"/>
        <w:ind w:firstLine="560" w:firstLineChars="200"/>
        <w:rPr>
          <w:rFonts w:ascii="宋体" w:hAnsi="宋体"/>
          <w:sz w:val="28"/>
          <w:szCs w:val="28"/>
        </w:rPr>
      </w:pPr>
      <w:r>
        <w:rPr>
          <w:rFonts w:hint="eastAsia" w:ascii="宋体" w:hAnsi="宋体"/>
          <w:sz w:val="28"/>
          <w:szCs w:val="28"/>
        </w:rPr>
        <w:t>6．与本报价有关的一切往来通讯请寄：</w:t>
      </w:r>
    </w:p>
    <w:p w14:paraId="248DF808">
      <w:pPr>
        <w:spacing w:line="500" w:lineRule="exact"/>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u w:val="single"/>
        </w:rPr>
        <w:t>　　　　　　　　　　</w:t>
      </w:r>
      <w:r>
        <w:rPr>
          <w:rFonts w:hint="eastAsia" w:ascii="宋体" w:hAnsi="宋体"/>
          <w:sz w:val="28"/>
          <w:szCs w:val="28"/>
        </w:rPr>
        <w:t>　邮编：</w:t>
      </w:r>
      <w:r>
        <w:rPr>
          <w:rFonts w:hint="eastAsia" w:ascii="宋体" w:hAnsi="宋体"/>
          <w:sz w:val="28"/>
          <w:szCs w:val="28"/>
          <w:u w:val="single"/>
        </w:rPr>
        <w:t>　　　　　　　　　　</w:t>
      </w:r>
    </w:p>
    <w:p w14:paraId="00464C5E">
      <w:pPr>
        <w:spacing w:line="500" w:lineRule="exact"/>
        <w:ind w:firstLine="560" w:firstLineChars="200"/>
        <w:rPr>
          <w:rFonts w:ascii="宋体" w:hAnsi="宋体"/>
          <w:sz w:val="28"/>
          <w:szCs w:val="28"/>
        </w:rPr>
      </w:pPr>
      <w:r>
        <w:rPr>
          <w:rFonts w:hint="eastAsia" w:ascii="宋体" w:hAnsi="宋体"/>
          <w:sz w:val="28"/>
          <w:szCs w:val="28"/>
        </w:rPr>
        <w:t>电话：</w:t>
      </w:r>
      <w:r>
        <w:rPr>
          <w:rFonts w:hint="eastAsia" w:ascii="宋体" w:hAnsi="宋体"/>
          <w:sz w:val="28"/>
          <w:szCs w:val="28"/>
          <w:u w:val="single"/>
        </w:rPr>
        <w:t>　　　　　　　　　　</w:t>
      </w:r>
      <w:r>
        <w:rPr>
          <w:rFonts w:hint="eastAsia" w:ascii="宋体" w:hAnsi="宋体"/>
          <w:sz w:val="28"/>
          <w:szCs w:val="28"/>
        </w:rPr>
        <w:t>　传真：</w:t>
      </w:r>
      <w:r>
        <w:rPr>
          <w:rFonts w:hint="eastAsia" w:ascii="宋体" w:hAnsi="宋体"/>
          <w:sz w:val="28"/>
          <w:szCs w:val="28"/>
          <w:u w:val="single"/>
        </w:rPr>
        <w:t>　　　　　　　　　　</w:t>
      </w:r>
    </w:p>
    <w:p w14:paraId="1EDE7F88">
      <w:pPr>
        <w:spacing w:line="500" w:lineRule="exact"/>
        <w:ind w:firstLine="560" w:firstLineChars="200"/>
        <w:rPr>
          <w:rFonts w:ascii="宋体" w:hAnsi="宋体"/>
          <w:sz w:val="28"/>
          <w:szCs w:val="28"/>
        </w:rPr>
      </w:pPr>
      <w:r>
        <w:rPr>
          <w:rFonts w:hint="eastAsia" w:ascii="宋体" w:hAnsi="宋体"/>
          <w:sz w:val="28"/>
          <w:szCs w:val="28"/>
        </w:rPr>
        <w:t>报价单位代表姓名：</w:t>
      </w:r>
      <w:r>
        <w:rPr>
          <w:rFonts w:hint="eastAsia" w:ascii="宋体" w:hAnsi="宋体"/>
          <w:sz w:val="28"/>
          <w:szCs w:val="28"/>
          <w:u w:val="single"/>
        </w:rPr>
        <w:t>　　　　　　</w:t>
      </w:r>
      <w:r>
        <w:rPr>
          <w:rFonts w:hint="eastAsia" w:ascii="宋体" w:hAnsi="宋体"/>
          <w:sz w:val="28"/>
          <w:szCs w:val="28"/>
        </w:rPr>
        <w:t>职务：</w:t>
      </w:r>
      <w:r>
        <w:rPr>
          <w:rFonts w:hint="eastAsia" w:ascii="宋体" w:hAnsi="宋体"/>
          <w:sz w:val="28"/>
          <w:szCs w:val="28"/>
          <w:u w:val="single"/>
        </w:rPr>
        <w:t>　　　　　　　　　</w:t>
      </w:r>
    </w:p>
    <w:p w14:paraId="5B23FD80">
      <w:pPr>
        <w:spacing w:line="500" w:lineRule="exact"/>
        <w:ind w:firstLine="560" w:firstLineChars="200"/>
        <w:rPr>
          <w:rFonts w:ascii="宋体" w:hAnsi="宋体"/>
          <w:sz w:val="28"/>
          <w:szCs w:val="28"/>
        </w:rPr>
      </w:pPr>
      <w:r>
        <w:rPr>
          <w:rFonts w:hint="eastAsia" w:ascii="宋体" w:hAnsi="宋体"/>
          <w:sz w:val="28"/>
          <w:szCs w:val="28"/>
        </w:rPr>
        <w:t>报价单位代表手机：</w:t>
      </w:r>
      <w:r>
        <w:rPr>
          <w:rFonts w:hint="eastAsia" w:ascii="宋体" w:hAnsi="宋体"/>
          <w:sz w:val="28"/>
          <w:szCs w:val="28"/>
          <w:u w:val="single"/>
        </w:rPr>
        <w:t>　　　　　　　　　　</w:t>
      </w:r>
    </w:p>
    <w:p w14:paraId="7248C3E3">
      <w:pPr>
        <w:spacing w:line="500" w:lineRule="exact"/>
        <w:ind w:firstLine="560" w:firstLineChars="200"/>
        <w:rPr>
          <w:rFonts w:ascii="宋体" w:hAnsi="宋体"/>
          <w:sz w:val="28"/>
          <w:szCs w:val="28"/>
        </w:rPr>
      </w:pPr>
      <w:r>
        <w:rPr>
          <w:rFonts w:hint="eastAsia" w:ascii="宋体" w:hAnsi="宋体"/>
          <w:sz w:val="28"/>
          <w:szCs w:val="28"/>
        </w:rPr>
        <w:t>报价单位名称：</w:t>
      </w:r>
      <w:r>
        <w:rPr>
          <w:rFonts w:hint="eastAsia" w:ascii="宋体" w:hAnsi="宋体"/>
          <w:sz w:val="28"/>
          <w:szCs w:val="28"/>
          <w:u w:val="single"/>
        </w:rPr>
        <w:t>　　　　　　　　    　　</w:t>
      </w:r>
      <w:r>
        <w:rPr>
          <w:rFonts w:hint="eastAsia" w:ascii="宋体" w:hAnsi="宋体"/>
          <w:sz w:val="28"/>
          <w:szCs w:val="28"/>
        </w:rPr>
        <w:t>（加盖单位公章）</w:t>
      </w:r>
    </w:p>
    <w:p w14:paraId="7557DB81">
      <w:pPr>
        <w:spacing w:line="500" w:lineRule="exact"/>
        <w:ind w:firstLine="560" w:firstLineChars="200"/>
        <w:rPr>
          <w:rFonts w:ascii="宋体" w:hAnsi="宋体"/>
          <w:sz w:val="28"/>
          <w:szCs w:val="28"/>
        </w:rPr>
      </w:pPr>
    </w:p>
    <w:p w14:paraId="3CCD9BCF">
      <w:pPr>
        <w:spacing w:line="500" w:lineRule="exact"/>
        <w:ind w:firstLine="5320" w:firstLineChars="1900"/>
        <w:rPr>
          <w:rFonts w:ascii="宋体" w:hAnsi="宋体"/>
          <w:sz w:val="28"/>
          <w:szCs w:val="28"/>
        </w:rPr>
      </w:pPr>
      <w:r>
        <w:rPr>
          <w:rFonts w:hint="eastAsia" w:ascii="宋体" w:hAnsi="宋体"/>
          <w:sz w:val="28"/>
          <w:szCs w:val="28"/>
        </w:rPr>
        <w:t xml:space="preserve">     年     月     日　　</w:t>
      </w:r>
    </w:p>
    <w:p w14:paraId="5752D07F">
      <w:pPr>
        <w:spacing w:line="440" w:lineRule="exact"/>
        <w:rPr>
          <w:rFonts w:ascii="宋体" w:hAnsi="宋体"/>
          <w:sz w:val="28"/>
          <w:szCs w:val="28"/>
        </w:rPr>
      </w:pPr>
    </w:p>
    <w:p w14:paraId="6B270AF7">
      <w:pPr>
        <w:spacing w:line="440" w:lineRule="exact"/>
        <w:rPr>
          <w:rFonts w:ascii="宋体" w:hAnsi="宋体"/>
          <w:sz w:val="28"/>
          <w:szCs w:val="28"/>
        </w:rPr>
      </w:pPr>
    </w:p>
    <w:p w14:paraId="104B3999">
      <w:pPr>
        <w:spacing w:line="440" w:lineRule="exact"/>
        <w:rPr>
          <w:rFonts w:ascii="宋体" w:hAnsi="宋体"/>
          <w:sz w:val="28"/>
          <w:szCs w:val="28"/>
        </w:rPr>
      </w:pPr>
    </w:p>
    <w:p w14:paraId="2CF3B4E4">
      <w:pPr>
        <w:spacing w:line="440" w:lineRule="exact"/>
        <w:rPr>
          <w:rFonts w:ascii="宋体" w:hAnsi="宋体"/>
          <w:sz w:val="28"/>
          <w:szCs w:val="28"/>
        </w:rPr>
      </w:pPr>
    </w:p>
    <w:p w14:paraId="1E1814F5">
      <w:pPr>
        <w:spacing w:line="560" w:lineRule="exact"/>
        <w:rPr>
          <w:rFonts w:ascii="宋体" w:hAnsi="宋体" w:cs="仿宋"/>
          <w:sz w:val="28"/>
          <w:szCs w:val="28"/>
        </w:rPr>
      </w:pPr>
      <w:r>
        <w:rPr>
          <w:rFonts w:hint="eastAsia" w:ascii="宋体" w:hAnsi="宋体"/>
          <w:b/>
          <w:sz w:val="28"/>
        </w:rPr>
        <w:br w:type="page"/>
      </w:r>
      <w:r>
        <w:rPr>
          <w:rFonts w:hint="eastAsia" w:ascii="宋体" w:hAnsi="宋体" w:cs="仿宋"/>
          <w:b/>
          <w:bCs/>
          <w:sz w:val="28"/>
          <w:szCs w:val="28"/>
        </w:rPr>
        <w:t>附件3：</w:t>
      </w:r>
    </w:p>
    <w:p w14:paraId="2AA44336">
      <w:pPr>
        <w:spacing w:line="560" w:lineRule="exact"/>
        <w:jc w:val="center"/>
        <w:rPr>
          <w:rFonts w:ascii="宋体" w:hAnsi="宋体"/>
          <w:b/>
          <w:bCs/>
          <w:sz w:val="32"/>
          <w:szCs w:val="32"/>
        </w:rPr>
      </w:pPr>
      <w:r>
        <w:rPr>
          <w:rFonts w:hint="eastAsia" w:ascii="宋体" w:hAnsi="宋体"/>
          <w:b/>
          <w:bCs/>
          <w:sz w:val="32"/>
          <w:szCs w:val="32"/>
        </w:rPr>
        <w:t>法定代表人身份证明</w:t>
      </w:r>
    </w:p>
    <w:p w14:paraId="74ECC160">
      <w:pPr>
        <w:spacing w:line="480" w:lineRule="exact"/>
        <w:rPr>
          <w:rFonts w:ascii="宋体" w:hAnsi="宋体"/>
          <w:sz w:val="24"/>
        </w:rPr>
      </w:pPr>
    </w:p>
    <w:p w14:paraId="3E7F7D1C">
      <w:pPr>
        <w:spacing w:line="480" w:lineRule="exact"/>
        <w:ind w:firstLine="480"/>
        <w:rPr>
          <w:rFonts w:ascii="宋体" w:hAnsi="宋体"/>
          <w:sz w:val="24"/>
        </w:rPr>
      </w:pPr>
      <w:r>
        <w:rPr>
          <w:rFonts w:hint="eastAsia" w:ascii="宋体" w:hAnsi="宋体"/>
          <w:sz w:val="24"/>
        </w:rPr>
        <w:t>先生/女士，身份证号码：，现任我单位职务，为法定代表人，特此证明。</w:t>
      </w:r>
    </w:p>
    <w:p w14:paraId="2E0F45C3">
      <w:pPr>
        <w:spacing w:line="480" w:lineRule="exact"/>
        <w:ind w:firstLine="480"/>
        <w:rPr>
          <w:rFonts w:ascii="宋体" w:hAnsi="宋体"/>
          <w:sz w:val="24"/>
        </w:rPr>
      </w:pPr>
    </w:p>
    <w:p w14:paraId="444AE478">
      <w:pPr>
        <w:spacing w:line="480" w:lineRule="exact"/>
        <w:ind w:firstLine="480"/>
        <w:rPr>
          <w:rFonts w:ascii="宋体" w:hAnsi="宋体"/>
          <w:sz w:val="24"/>
        </w:rPr>
      </w:pPr>
    </w:p>
    <w:p w14:paraId="2A942743">
      <w:pPr>
        <w:adjustRightInd w:val="0"/>
        <w:spacing w:line="480" w:lineRule="auto"/>
        <w:ind w:left="3255" w:leftChars="1550" w:firstLine="240" w:firstLineChars="100"/>
        <w:rPr>
          <w:rFonts w:ascii="宋体" w:hAnsi="宋体"/>
          <w:sz w:val="24"/>
        </w:rPr>
      </w:pPr>
    </w:p>
    <w:p w14:paraId="54A7BBAC">
      <w:pPr>
        <w:adjustRightInd w:val="0"/>
        <w:spacing w:line="480" w:lineRule="auto"/>
        <w:ind w:left="3255" w:leftChars="1550" w:firstLine="240" w:firstLineChars="100"/>
        <w:jc w:val="left"/>
        <w:rPr>
          <w:rFonts w:ascii="宋体" w:hAnsi="宋体"/>
          <w:sz w:val="24"/>
          <w:u w:val="single"/>
        </w:rPr>
      </w:pPr>
      <w:r>
        <w:rPr>
          <w:rFonts w:hint="eastAsia" w:ascii="宋体" w:hAnsi="宋体"/>
          <w:sz w:val="24"/>
        </w:rPr>
        <w:t>单位名称(盖公章)</w:t>
      </w:r>
    </w:p>
    <w:p w14:paraId="08741E5B">
      <w:pPr>
        <w:adjustRightInd w:val="0"/>
        <w:spacing w:line="480" w:lineRule="auto"/>
        <w:ind w:left="3255" w:leftChars="1550" w:firstLine="240" w:firstLineChars="100"/>
        <w:jc w:val="left"/>
        <w:rPr>
          <w:rFonts w:ascii="宋体" w:hAnsi="宋体"/>
          <w:sz w:val="24"/>
          <w:u w:val="single"/>
        </w:rPr>
      </w:pPr>
      <w:r>
        <w:rPr>
          <w:rFonts w:hint="eastAsia" w:ascii="宋体" w:hAnsi="宋体"/>
          <w:sz w:val="24"/>
        </w:rPr>
        <w:t>日 期：     年   月   日</w:t>
      </w:r>
    </w:p>
    <w:p w14:paraId="27697679">
      <w:pPr>
        <w:adjustRightInd w:val="0"/>
        <w:spacing w:line="480" w:lineRule="auto"/>
        <w:jc w:val="left"/>
      </w:pPr>
    </w:p>
    <w:p w14:paraId="0E857B27">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14:paraId="13D6B70A"/>
    <w:p w14:paraId="107ACD94">
      <w:pPr>
        <w:spacing w:line="560" w:lineRule="exact"/>
        <w:jc w:val="center"/>
        <w:rPr>
          <w:rFonts w:ascii="宋体" w:hAnsi="宋体" w:cs="宋体"/>
          <w:b/>
          <w:bCs/>
          <w:sz w:val="44"/>
          <w:szCs w:val="44"/>
        </w:rPr>
      </w:pPr>
    </w:p>
    <w:p w14:paraId="3CF2F2C3">
      <w:pPr>
        <w:spacing w:line="560" w:lineRule="exact"/>
        <w:jc w:val="center"/>
        <w:rPr>
          <w:rFonts w:ascii="宋体" w:hAnsi="宋体" w:cs="宋体"/>
          <w:b/>
          <w:bCs/>
          <w:sz w:val="44"/>
          <w:szCs w:val="44"/>
        </w:rPr>
      </w:pPr>
    </w:p>
    <w:p w14:paraId="2BE2507F">
      <w:pPr>
        <w:spacing w:line="560" w:lineRule="exact"/>
        <w:jc w:val="center"/>
        <w:rPr>
          <w:rFonts w:ascii="宋体" w:hAnsi="宋体" w:cs="宋体"/>
          <w:b/>
          <w:bCs/>
          <w:sz w:val="44"/>
          <w:szCs w:val="44"/>
        </w:rPr>
      </w:pPr>
    </w:p>
    <w:p w14:paraId="41931209">
      <w:pPr>
        <w:spacing w:line="560" w:lineRule="exact"/>
        <w:jc w:val="center"/>
        <w:rPr>
          <w:rFonts w:ascii="宋体" w:hAnsi="宋体" w:cs="宋体"/>
          <w:b/>
          <w:bCs/>
          <w:sz w:val="44"/>
          <w:szCs w:val="44"/>
        </w:rPr>
      </w:pPr>
    </w:p>
    <w:p w14:paraId="74F7F457">
      <w:pPr>
        <w:spacing w:line="560" w:lineRule="exact"/>
        <w:jc w:val="center"/>
        <w:rPr>
          <w:rFonts w:ascii="宋体" w:hAnsi="宋体" w:cs="宋体"/>
          <w:b/>
          <w:bCs/>
          <w:sz w:val="44"/>
          <w:szCs w:val="44"/>
        </w:rPr>
      </w:pPr>
    </w:p>
    <w:p w14:paraId="4B016D09">
      <w:pPr>
        <w:spacing w:line="560" w:lineRule="exact"/>
        <w:jc w:val="center"/>
        <w:rPr>
          <w:rFonts w:ascii="宋体" w:hAnsi="宋体" w:cs="宋体"/>
          <w:b/>
          <w:bCs/>
          <w:sz w:val="44"/>
          <w:szCs w:val="44"/>
        </w:rPr>
      </w:pPr>
    </w:p>
    <w:p w14:paraId="68C68943">
      <w:pPr>
        <w:spacing w:line="560" w:lineRule="exact"/>
        <w:jc w:val="center"/>
        <w:rPr>
          <w:rFonts w:ascii="宋体" w:hAnsi="宋体" w:cs="宋体"/>
          <w:b/>
          <w:bCs/>
          <w:sz w:val="44"/>
          <w:szCs w:val="44"/>
        </w:rPr>
      </w:pPr>
    </w:p>
    <w:p w14:paraId="0922B849">
      <w:pPr>
        <w:spacing w:line="560" w:lineRule="exact"/>
        <w:jc w:val="center"/>
        <w:rPr>
          <w:rFonts w:ascii="宋体" w:hAnsi="宋体" w:cs="宋体"/>
          <w:b/>
          <w:bCs/>
          <w:sz w:val="44"/>
          <w:szCs w:val="44"/>
        </w:rPr>
      </w:pPr>
    </w:p>
    <w:p w14:paraId="315AFBB1">
      <w:pPr>
        <w:spacing w:line="560" w:lineRule="exact"/>
        <w:jc w:val="center"/>
        <w:rPr>
          <w:rFonts w:ascii="宋体" w:hAnsi="宋体" w:cs="宋体"/>
          <w:b/>
          <w:bCs/>
          <w:sz w:val="44"/>
          <w:szCs w:val="44"/>
        </w:rPr>
      </w:pPr>
    </w:p>
    <w:p w14:paraId="017821AA">
      <w:pPr>
        <w:spacing w:line="560" w:lineRule="exact"/>
        <w:jc w:val="center"/>
        <w:rPr>
          <w:rFonts w:ascii="宋体" w:hAnsi="宋体" w:cs="宋体"/>
          <w:b/>
          <w:bCs/>
          <w:sz w:val="44"/>
          <w:szCs w:val="44"/>
        </w:rPr>
      </w:pPr>
    </w:p>
    <w:p w14:paraId="0F32752B">
      <w:pPr>
        <w:spacing w:line="560" w:lineRule="exact"/>
        <w:jc w:val="center"/>
        <w:rPr>
          <w:rFonts w:ascii="宋体" w:hAnsi="宋体" w:cs="宋体"/>
          <w:b/>
          <w:bCs/>
          <w:sz w:val="44"/>
          <w:szCs w:val="44"/>
        </w:rPr>
      </w:pPr>
    </w:p>
    <w:p w14:paraId="7BA297A3">
      <w:pPr>
        <w:spacing w:line="560" w:lineRule="exact"/>
        <w:jc w:val="center"/>
        <w:rPr>
          <w:rFonts w:ascii="宋体" w:hAnsi="宋体" w:cs="宋体"/>
          <w:b/>
          <w:bCs/>
          <w:sz w:val="44"/>
          <w:szCs w:val="44"/>
        </w:rPr>
      </w:pPr>
    </w:p>
    <w:p w14:paraId="5D1188E4">
      <w:pPr>
        <w:spacing w:line="560" w:lineRule="exact"/>
        <w:rPr>
          <w:rFonts w:hint="eastAsia" w:ascii="宋体" w:hAnsi="宋体" w:cs="仿宋"/>
          <w:b/>
          <w:bCs/>
          <w:sz w:val="28"/>
          <w:szCs w:val="28"/>
        </w:rPr>
      </w:pPr>
    </w:p>
    <w:p w14:paraId="163F69CD">
      <w:pPr>
        <w:spacing w:line="560" w:lineRule="exact"/>
        <w:rPr>
          <w:rFonts w:ascii="宋体" w:hAnsi="宋体" w:cs="宋体"/>
          <w:b/>
          <w:bCs/>
          <w:sz w:val="44"/>
          <w:szCs w:val="44"/>
        </w:rPr>
      </w:pPr>
      <w:r>
        <w:rPr>
          <w:rFonts w:hint="eastAsia" w:ascii="宋体" w:hAnsi="宋体" w:cs="仿宋"/>
          <w:b/>
          <w:bCs/>
          <w:sz w:val="28"/>
          <w:szCs w:val="28"/>
        </w:rPr>
        <w:t>附件4：</w:t>
      </w:r>
    </w:p>
    <w:p w14:paraId="591B1A61">
      <w:pPr>
        <w:spacing w:line="560" w:lineRule="exact"/>
        <w:jc w:val="center"/>
        <w:rPr>
          <w:rFonts w:ascii="宋体" w:hAnsi="宋体"/>
          <w:b/>
          <w:bCs/>
          <w:sz w:val="32"/>
          <w:szCs w:val="32"/>
        </w:rPr>
      </w:pPr>
      <w:r>
        <w:rPr>
          <w:rFonts w:hint="eastAsia" w:ascii="宋体" w:hAnsi="宋体"/>
          <w:b/>
          <w:bCs/>
          <w:sz w:val="32"/>
          <w:szCs w:val="32"/>
        </w:rPr>
        <w:t>授权委托书</w:t>
      </w:r>
    </w:p>
    <w:p w14:paraId="7065D0BB">
      <w:pPr>
        <w:spacing w:line="560" w:lineRule="exact"/>
        <w:jc w:val="center"/>
        <w:rPr>
          <w:rFonts w:ascii="Arial Unicode MS" w:eastAsia="Arial Unicode MS"/>
          <w:sz w:val="44"/>
          <w:szCs w:val="44"/>
        </w:rPr>
      </w:pPr>
    </w:p>
    <w:p w14:paraId="2BC7A392">
      <w:pPr>
        <w:spacing w:line="560" w:lineRule="exact"/>
        <w:jc w:val="left"/>
        <w:rPr>
          <w:rFonts w:ascii="宋体" w:hAnsi="宋体" w:cs="宋体"/>
          <w:sz w:val="28"/>
          <w:szCs w:val="28"/>
        </w:rPr>
      </w:pPr>
      <w:r>
        <w:rPr>
          <w:rFonts w:hint="eastAsia" w:ascii="宋体" w:hAnsi="宋体" w:cs="宋体"/>
          <w:sz w:val="28"/>
          <w:szCs w:val="28"/>
          <w:u w:val="single"/>
        </w:rPr>
        <w:t>启东市自来水厂有限公司</w:t>
      </w:r>
      <w:r>
        <w:rPr>
          <w:rFonts w:hint="eastAsia" w:ascii="宋体" w:hAnsi="宋体" w:cs="宋体"/>
          <w:sz w:val="28"/>
          <w:szCs w:val="28"/>
        </w:rPr>
        <w:t>：</w:t>
      </w:r>
    </w:p>
    <w:p w14:paraId="51D58E23">
      <w:pPr>
        <w:spacing w:line="560" w:lineRule="exact"/>
        <w:ind w:firstLine="560" w:firstLineChars="200"/>
        <w:jc w:val="left"/>
        <w:rPr>
          <w:rFonts w:ascii="宋体" w:hAnsi="宋体" w:cs="宋体"/>
          <w:sz w:val="28"/>
          <w:szCs w:val="28"/>
        </w:rPr>
      </w:pPr>
      <w:r>
        <w:rPr>
          <w:rFonts w:hint="eastAsia" w:ascii="宋体" w:hAnsi="宋体" w:cs="宋体"/>
          <w:sz w:val="28"/>
          <w:szCs w:val="28"/>
        </w:rPr>
        <w:t>我公司授权我公司员工</w:t>
      </w:r>
      <w:r>
        <w:rPr>
          <w:rFonts w:hint="eastAsia" w:ascii="宋体" w:hAnsi="宋体" w:cs="宋体"/>
          <w:sz w:val="28"/>
          <w:szCs w:val="28"/>
          <w:u w:val="single"/>
        </w:rPr>
        <w:t xml:space="preserve">（身份证号码为：   </w:t>
      </w:r>
      <w:r>
        <w:rPr>
          <w:rFonts w:hint="eastAsia" w:ascii="宋体" w:hAnsi="宋体" w:cs="宋体"/>
          <w:sz w:val="28"/>
          <w:szCs w:val="28"/>
        </w:rPr>
        <w:t>）参加贵单位</w:t>
      </w:r>
      <w:r>
        <w:rPr>
          <w:rFonts w:hint="eastAsia" w:ascii="宋体" w:hAnsi="宋体" w:cs="宋体"/>
          <w:b/>
          <w:bCs/>
          <w:sz w:val="28"/>
          <w:szCs w:val="28"/>
          <w:u w:val="single"/>
          <w:lang w:eastAsia="zh-CN"/>
        </w:rPr>
        <w:t>启东市自来水厂有限公司新办公点办公家具采购项目</w:t>
      </w:r>
      <w:r>
        <w:rPr>
          <w:rFonts w:hint="eastAsia" w:ascii="宋体" w:hAnsi="宋体" w:cs="宋体"/>
          <w:sz w:val="28"/>
          <w:szCs w:val="28"/>
        </w:rPr>
        <w:t>的询价采购。</w:t>
      </w:r>
    </w:p>
    <w:p w14:paraId="6771DBCE">
      <w:pPr>
        <w:spacing w:line="560" w:lineRule="exact"/>
        <w:jc w:val="left"/>
        <w:rPr>
          <w:rFonts w:ascii="宋体" w:hAnsi="宋体" w:cs="宋体"/>
          <w:sz w:val="28"/>
          <w:szCs w:val="28"/>
        </w:rPr>
      </w:pPr>
      <w:r>
        <w:rPr>
          <w:rFonts w:hint="eastAsia" w:ascii="宋体" w:hAnsi="宋体" w:cs="宋体"/>
          <w:sz w:val="28"/>
          <w:szCs w:val="28"/>
        </w:rPr>
        <w:t xml:space="preserve">    授权范围如下：</w:t>
      </w:r>
    </w:p>
    <w:p w14:paraId="32ADCB9F">
      <w:pPr>
        <w:spacing w:line="560" w:lineRule="exact"/>
        <w:jc w:val="left"/>
        <w:rPr>
          <w:rFonts w:ascii="宋体" w:hAnsi="宋体" w:cs="宋体"/>
          <w:sz w:val="28"/>
          <w:szCs w:val="28"/>
        </w:rPr>
      </w:pPr>
      <w:r>
        <w:rPr>
          <w:rFonts w:hint="eastAsia" w:ascii="宋体" w:hAnsi="宋体" w:cs="宋体"/>
          <w:sz w:val="28"/>
          <w:szCs w:val="28"/>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2D3997DA">
      <w:pPr>
        <w:spacing w:line="560" w:lineRule="exact"/>
        <w:jc w:val="left"/>
        <w:rPr>
          <w:rFonts w:ascii="仿宋_GB2312" w:eastAsia="仿宋_GB2312"/>
          <w:sz w:val="32"/>
          <w:szCs w:val="32"/>
        </w:rPr>
      </w:pPr>
      <w:r>
        <w:rPr>
          <w:rFonts w:hint="eastAsia" w:ascii="宋体" w:hAnsi="宋体" w:cs="宋体"/>
          <w:sz w:val="28"/>
          <w:szCs w:val="28"/>
        </w:rPr>
        <w:t xml:space="preserve">  本授权期限自</w:t>
      </w:r>
      <w:r>
        <w:rPr>
          <w:rFonts w:hint="eastAsia" w:ascii="宋体" w:hAnsi="宋体" w:cs="宋体"/>
          <w:sz w:val="28"/>
          <w:szCs w:val="28"/>
          <w:u w:val="single"/>
        </w:rPr>
        <w:t>2024</w:t>
      </w:r>
      <w:r>
        <w:rPr>
          <w:rFonts w:hint="eastAsia" w:ascii="宋体" w:hAnsi="宋体" w:cs="宋体"/>
          <w:sz w:val="28"/>
          <w:szCs w:val="28"/>
        </w:rPr>
        <w:t>年月日起至</w:t>
      </w:r>
      <w:r>
        <w:rPr>
          <w:rFonts w:hint="eastAsia" w:ascii="宋体" w:hAnsi="宋体" w:cs="宋体"/>
          <w:sz w:val="28"/>
          <w:szCs w:val="28"/>
          <w:u w:val="single"/>
        </w:rPr>
        <w:t>2024</w:t>
      </w:r>
      <w:r>
        <w:rPr>
          <w:rFonts w:hint="eastAsia" w:ascii="宋体" w:hAnsi="宋体" w:cs="宋体"/>
          <w:sz w:val="28"/>
          <w:szCs w:val="28"/>
        </w:rPr>
        <w:t>年月日止</w:t>
      </w:r>
      <w:r>
        <w:rPr>
          <w:rFonts w:hint="eastAsia" w:ascii="宋体" w:hAnsi="宋体" w:cs="宋体"/>
          <w:sz w:val="32"/>
          <w:szCs w:val="32"/>
        </w:rPr>
        <w:t>。</w:t>
      </w:r>
    </w:p>
    <w:p w14:paraId="1E1BBD24">
      <w:pPr>
        <w:spacing w:line="560" w:lineRule="exact"/>
        <w:jc w:val="left"/>
        <w:rPr>
          <w:rFonts w:ascii="仿宋_GB2312" w:eastAsia="仿宋_GB2312"/>
          <w:sz w:val="32"/>
          <w:szCs w:val="32"/>
        </w:rPr>
      </w:pPr>
    </w:p>
    <w:p w14:paraId="32F8E5E5">
      <w:pPr>
        <w:spacing w:line="560" w:lineRule="exact"/>
        <w:jc w:val="left"/>
        <w:rPr>
          <w:rFonts w:ascii="仿宋_GB2312" w:eastAsia="仿宋_GB2312"/>
          <w:sz w:val="32"/>
          <w:szCs w:val="32"/>
        </w:rPr>
      </w:pPr>
    </w:p>
    <w:p w14:paraId="77DC78C2">
      <w:pPr>
        <w:spacing w:line="560" w:lineRule="exact"/>
        <w:ind w:right="560" w:firstLine="4760" w:firstLineChars="1700"/>
        <w:rPr>
          <w:rFonts w:ascii="宋体" w:hAnsi="宋体" w:cs="宋体"/>
          <w:sz w:val="28"/>
          <w:szCs w:val="28"/>
        </w:rPr>
      </w:pPr>
      <w:r>
        <w:rPr>
          <w:rFonts w:hint="eastAsia" w:ascii="宋体" w:hAnsi="宋体" w:cs="宋体"/>
          <w:sz w:val="28"/>
          <w:szCs w:val="28"/>
        </w:rPr>
        <w:t>供应商（盖公章）：</w:t>
      </w:r>
    </w:p>
    <w:p w14:paraId="573491A7">
      <w:pPr>
        <w:spacing w:line="560" w:lineRule="exact"/>
        <w:jc w:val="right"/>
        <w:rPr>
          <w:rFonts w:ascii="宋体" w:hAnsi="宋体" w:cs="宋体"/>
          <w:sz w:val="28"/>
          <w:szCs w:val="28"/>
        </w:rPr>
      </w:pPr>
      <w:r>
        <w:rPr>
          <w:rFonts w:hint="eastAsia" w:ascii="宋体" w:hAnsi="宋体" w:cs="宋体"/>
          <w:sz w:val="28"/>
          <w:szCs w:val="28"/>
        </w:rPr>
        <w:t xml:space="preserve">    法定代表人（签字或盖章）：</w:t>
      </w:r>
    </w:p>
    <w:p w14:paraId="6EC7315F">
      <w:pPr>
        <w:spacing w:line="560" w:lineRule="exact"/>
        <w:ind w:right="560" w:firstLine="4760" w:firstLineChars="1700"/>
        <w:rPr>
          <w:rFonts w:ascii="宋体" w:hAnsi="宋体" w:cs="宋体"/>
          <w:sz w:val="28"/>
          <w:szCs w:val="28"/>
        </w:rPr>
      </w:pPr>
      <w:r>
        <w:rPr>
          <w:rFonts w:hint="eastAsia" w:ascii="宋体" w:hAnsi="宋体" w:cs="宋体"/>
          <w:sz w:val="28"/>
          <w:szCs w:val="28"/>
        </w:rPr>
        <w:t>被授权人签字：</w:t>
      </w:r>
    </w:p>
    <w:p w14:paraId="5CE7DA0D">
      <w:pPr>
        <w:spacing w:line="560" w:lineRule="exact"/>
        <w:ind w:right="560"/>
        <w:jc w:val="right"/>
        <w:rPr>
          <w:rFonts w:ascii="宋体" w:hAnsi="宋体" w:cs="宋体"/>
          <w:sz w:val="28"/>
          <w:szCs w:val="28"/>
        </w:rPr>
      </w:pPr>
      <w:r>
        <w:rPr>
          <w:rFonts w:hint="eastAsia" w:ascii="宋体" w:hAnsi="宋体" w:cs="宋体"/>
          <w:sz w:val="28"/>
          <w:szCs w:val="28"/>
        </w:rPr>
        <w:t>日期：    年   月  日</w:t>
      </w:r>
    </w:p>
    <w:p w14:paraId="31879085">
      <w:pPr>
        <w:spacing w:line="560" w:lineRule="exact"/>
        <w:jc w:val="left"/>
        <w:rPr>
          <w:rFonts w:ascii="宋体" w:hAnsi="宋体" w:cs="仿宋"/>
          <w:sz w:val="28"/>
          <w:szCs w:val="28"/>
        </w:rPr>
      </w:pPr>
    </w:p>
    <w:p w14:paraId="4AB4E414">
      <w:pPr>
        <w:spacing w:line="560" w:lineRule="exact"/>
        <w:jc w:val="left"/>
        <w:rPr>
          <w:rFonts w:ascii="宋体" w:hAnsi="宋体" w:cs="仿宋"/>
          <w:sz w:val="28"/>
          <w:szCs w:val="28"/>
        </w:rPr>
      </w:pPr>
      <w:r>
        <w:rPr>
          <w:rFonts w:hint="eastAsia" w:ascii="宋体" w:hAnsi="宋体" w:cs="仿宋"/>
          <w:sz w:val="28"/>
        </w:rPr>
        <w:t>附件：</w:t>
      </w:r>
      <w:r>
        <w:rPr>
          <w:rFonts w:hint="eastAsia" w:ascii="宋体" w:hAnsi="宋体" w:cs="仿宋"/>
          <w:sz w:val="28"/>
          <w:szCs w:val="28"/>
        </w:rPr>
        <w:t>被授权人身份证复印件</w:t>
      </w:r>
    </w:p>
    <w:p w14:paraId="2C13F865">
      <w:pPr>
        <w:spacing w:line="560" w:lineRule="exact"/>
        <w:jc w:val="left"/>
        <w:rPr>
          <w:rFonts w:ascii="宋体" w:hAnsi="宋体" w:cs="仿宋"/>
          <w:sz w:val="28"/>
          <w:szCs w:val="28"/>
        </w:rPr>
      </w:pPr>
    </w:p>
    <w:p w14:paraId="7CCFF2C3">
      <w:pPr>
        <w:rPr>
          <w:rFonts w:ascii="宋体" w:hAnsi="宋体"/>
          <w:b/>
          <w:sz w:val="28"/>
        </w:rPr>
      </w:pPr>
      <w:r>
        <w:rPr>
          <w:rFonts w:hint="eastAsia" w:ascii="宋体" w:hAnsi="宋体"/>
          <w:b/>
          <w:sz w:val="28"/>
        </w:rPr>
        <w:br w:type="page"/>
      </w:r>
    </w:p>
    <w:bookmarkEnd w:id="0"/>
    <w:p w14:paraId="68C6EADF">
      <w:pPr>
        <w:spacing w:line="440" w:lineRule="exact"/>
        <w:rPr>
          <w:rFonts w:ascii="宋体" w:hAnsi="宋体"/>
          <w:b/>
          <w:sz w:val="44"/>
          <w:szCs w:val="44"/>
        </w:rPr>
      </w:pPr>
      <w:r>
        <w:rPr>
          <w:rFonts w:hint="eastAsia" w:ascii="宋体" w:hAnsi="宋体"/>
          <w:b/>
          <w:sz w:val="28"/>
        </w:rPr>
        <w:t>附件5：</w:t>
      </w:r>
    </w:p>
    <w:p w14:paraId="70C63BFA">
      <w:pPr>
        <w:ind w:firstLine="361" w:firstLineChars="100"/>
        <w:jc w:val="center"/>
        <w:rPr>
          <w:rFonts w:ascii="宋体" w:hAnsi="宋体" w:cs="宋体"/>
          <w:b/>
          <w:sz w:val="44"/>
          <w:szCs w:val="44"/>
        </w:rPr>
      </w:pPr>
      <w:r>
        <w:rPr>
          <w:rFonts w:hint="eastAsia" w:ascii="宋体" w:hAnsi="宋体"/>
          <w:b/>
          <w:bCs/>
          <w:sz w:val="36"/>
          <w:szCs w:val="36"/>
        </w:rPr>
        <w:t>报价表</w:t>
      </w:r>
    </w:p>
    <w:p w14:paraId="21A06ED8">
      <w:pPr>
        <w:spacing w:beforeLines="50" w:afterLines="50" w:line="560" w:lineRule="exact"/>
        <w:jc w:val="left"/>
        <w:rPr>
          <w:rFonts w:hint="eastAsia" w:ascii="宋体" w:hAnsi="宋体" w:eastAsia="宋体" w:cs="宋体"/>
          <w:b/>
          <w:sz w:val="28"/>
          <w:szCs w:val="28"/>
          <w:lang w:eastAsia="zh-CN"/>
        </w:rPr>
      </w:pPr>
      <w:r>
        <w:rPr>
          <w:rFonts w:hint="eastAsia" w:ascii="宋体" w:hAnsi="宋体" w:cs="宋体"/>
          <w:b/>
          <w:sz w:val="28"/>
          <w:szCs w:val="28"/>
        </w:rPr>
        <w:t>项目名称：</w:t>
      </w:r>
      <w:r>
        <w:rPr>
          <w:rFonts w:hint="eastAsia" w:ascii="宋体" w:hAnsi="宋体" w:cs="宋体"/>
          <w:b/>
          <w:sz w:val="28"/>
          <w:szCs w:val="28"/>
          <w:lang w:eastAsia="zh-CN"/>
        </w:rPr>
        <w:t>启东市自来水厂有限公司新办公点办公家具采购项目</w:t>
      </w:r>
    </w:p>
    <w:tbl>
      <w:tblPr>
        <w:tblStyle w:val="15"/>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14"/>
        <w:gridCol w:w="1628"/>
        <w:gridCol w:w="564"/>
        <w:gridCol w:w="538"/>
        <w:gridCol w:w="2476"/>
        <w:gridCol w:w="948"/>
        <w:gridCol w:w="1020"/>
      </w:tblGrid>
      <w:tr w14:paraId="1A49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29DB8D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723" w:type="pct"/>
            <w:noWrap w:val="0"/>
            <w:vAlign w:val="center"/>
          </w:tcPr>
          <w:p w14:paraId="79B9E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  称</w:t>
            </w:r>
          </w:p>
        </w:tc>
        <w:tc>
          <w:tcPr>
            <w:tcW w:w="897" w:type="pct"/>
            <w:noWrap w:val="0"/>
            <w:vAlign w:val="center"/>
          </w:tcPr>
          <w:p w14:paraId="3DDCA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样图</w:t>
            </w:r>
          </w:p>
        </w:tc>
        <w:tc>
          <w:tcPr>
            <w:tcW w:w="310" w:type="pct"/>
            <w:noWrap w:val="0"/>
            <w:vAlign w:val="center"/>
          </w:tcPr>
          <w:p w14:paraId="019B3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96" w:type="pct"/>
            <w:noWrap w:val="0"/>
            <w:vAlign w:val="center"/>
          </w:tcPr>
          <w:p w14:paraId="19493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64" w:type="pct"/>
            <w:noWrap w:val="0"/>
            <w:vAlign w:val="center"/>
          </w:tcPr>
          <w:p w14:paraId="611CA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材质要求</w:t>
            </w:r>
          </w:p>
        </w:tc>
        <w:tc>
          <w:tcPr>
            <w:tcW w:w="522" w:type="pct"/>
            <w:noWrap w:val="0"/>
            <w:vAlign w:val="center"/>
          </w:tcPr>
          <w:p w14:paraId="5E2662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单价（元）</w:t>
            </w:r>
          </w:p>
        </w:tc>
        <w:tc>
          <w:tcPr>
            <w:tcW w:w="562" w:type="pct"/>
            <w:noWrap w:val="0"/>
            <w:vAlign w:val="center"/>
          </w:tcPr>
          <w:p w14:paraId="2041B7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合计（元）</w:t>
            </w:r>
          </w:p>
        </w:tc>
      </w:tr>
      <w:tr w14:paraId="100D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797F22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23" w:type="pct"/>
            <w:noWrap w:val="0"/>
            <w:vAlign w:val="center"/>
          </w:tcPr>
          <w:p w14:paraId="133F7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办  公  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2000W×1800D×750H</w:t>
            </w:r>
          </w:p>
        </w:tc>
        <w:tc>
          <w:tcPr>
            <w:tcW w:w="897" w:type="pct"/>
            <w:noWrap/>
            <w:vAlign w:val="center"/>
          </w:tcPr>
          <w:p w14:paraId="61D72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2860675</wp:posOffset>
                  </wp:positionV>
                  <wp:extent cx="952500" cy="581660"/>
                  <wp:effectExtent l="0" t="0" r="0" b="8890"/>
                  <wp:wrapNone/>
                  <wp:docPr id="18" name="图片_7"/>
                  <wp:cNvGraphicFramePr/>
                  <a:graphic xmlns:a="http://schemas.openxmlformats.org/drawingml/2006/main">
                    <a:graphicData uri="http://schemas.openxmlformats.org/drawingml/2006/picture">
                      <pic:pic xmlns:pic="http://schemas.openxmlformats.org/drawingml/2006/picture">
                        <pic:nvPicPr>
                          <pic:cNvPr id="18" name="图片_7"/>
                          <pic:cNvPicPr/>
                        </pic:nvPicPr>
                        <pic:blipFill>
                          <a:blip r:embed="rId6"/>
                          <a:stretch>
                            <a:fillRect/>
                          </a:stretch>
                        </pic:blipFill>
                        <pic:spPr>
                          <a:xfrm>
                            <a:off x="0" y="0"/>
                            <a:ext cx="952500" cy="581660"/>
                          </a:xfrm>
                          <a:prstGeom prst="rect">
                            <a:avLst/>
                          </a:prstGeom>
                          <a:noFill/>
                          <a:ln>
                            <a:noFill/>
                          </a:ln>
                        </pic:spPr>
                      </pic:pic>
                    </a:graphicData>
                  </a:graphic>
                </wp:anchor>
              </w:drawing>
            </w:r>
          </w:p>
        </w:tc>
        <w:tc>
          <w:tcPr>
            <w:tcW w:w="310" w:type="pct"/>
            <w:noWrap w:val="0"/>
            <w:vAlign w:val="center"/>
          </w:tcPr>
          <w:p w14:paraId="358EC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41978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4" w:type="pct"/>
            <w:noWrap w:val="0"/>
            <w:vAlign w:val="center"/>
          </w:tcPr>
          <w:p w14:paraId="34B19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57469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1FB64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75544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3D143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77F73C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3D2B9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4E667D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04C27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089FE0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7C6628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3CC62C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3E8E4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30D02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c>
          <w:tcPr>
            <w:tcW w:w="522" w:type="pct"/>
            <w:noWrap w:val="0"/>
            <w:vAlign w:val="center"/>
          </w:tcPr>
          <w:p w14:paraId="618F6C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9B0AF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2A33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64008C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23" w:type="pct"/>
            <w:noWrap w:val="0"/>
            <w:vAlign w:val="center"/>
          </w:tcPr>
          <w:p w14:paraId="364CF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文件矮柜1800*400*1100</w:t>
            </w:r>
          </w:p>
        </w:tc>
        <w:tc>
          <w:tcPr>
            <w:tcW w:w="897" w:type="pct"/>
            <w:noWrap/>
            <w:vAlign w:val="center"/>
          </w:tcPr>
          <w:p w14:paraId="2163AC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310" w:type="pct"/>
            <w:noWrap w:val="0"/>
            <w:vAlign w:val="center"/>
          </w:tcPr>
          <w:p w14:paraId="3F638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34E81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noWrap w:val="0"/>
            <w:vAlign w:val="center"/>
          </w:tcPr>
          <w:p w14:paraId="780705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w:t>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-1727835</wp:posOffset>
                  </wp:positionH>
                  <wp:positionV relativeFrom="paragraph">
                    <wp:posOffset>1169670</wp:posOffset>
                  </wp:positionV>
                  <wp:extent cx="914400" cy="1027430"/>
                  <wp:effectExtent l="0" t="0" r="0" b="1270"/>
                  <wp:wrapNone/>
                  <wp:docPr id="19" name="图片_5"/>
                  <wp:cNvGraphicFramePr/>
                  <a:graphic xmlns:a="http://schemas.openxmlformats.org/drawingml/2006/main">
                    <a:graphicData uri="http://schemas.openxmlformats.org/drawingml/2006/picture">
                      <pic:pic xmlns:pic="http://schemas.openxmlformats.org/drawingml/2006/picture">
                        <pic:nvPicPr>
                          <pic:cNvPr id="19" name="图片_5"/>
                          <pic:cNvPicPr/>
                        </pic:nvPicPr>
                        <pic:blipFill>
                          <a:blip r:embed="rId7"/>
                          <a:stretch>
                            <a:fillRect/>
                          </a:stretch>
                        </pic:blipFill>
                        <pic:spPr>
                          <a:xfrm>
                            <a:off x="0" y="0"/>
                            <a:ext cx="914400" cy="102743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2CF624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76DECC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780A6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7D8E3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31E355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5F4204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69D68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25FACC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5BDB4A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043B82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0E9A5B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70D2B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6B728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c>
          <w:tcPr>
            <w:tcW w:w="522" w:type="pct"/>
            <w:noWrap w:val="0"/>
            <w:vAlign w:val="center"/>
          </w:tcPr>
          <w:p w14:paraId="6DB68E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4D734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2C9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121FAA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23" w:type="pct"/>
            <w:noWrap w:val="0"/>
            <w:vAlign w:val="center"/>
          </w:tcPr>
          <w:p w14:paraId="2A5F9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  公  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1600W×1400D×750H</w:t>
            </w:r>
          </w:p>
        </w:tc>
        <w:tc>
          <w:tcPr>
            <w:tcW w:w="897" w:type="pct"/>
            <w:noWrap/>
            <w:vAlign w:val="center"/>
          </w:tcPr>
          <w:p w14:paraId="5D4B2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-19050</wp:posOffset>
                  </wp:positionH>
                  <wp:positionV relativeFrom="paragraph">
                    <wp:posOffset>1571625</wp:posOffset>
                  </wp:positionV>
                  <wp:extent cx="981075" cy="666750"/>
                  <wp:effectExtent l="0" t="0" r="9525" b="0"/>
                  <wp:wrapNone/>
                  <wp:docPr id="20" name="图片_13"/>
                  <wp:cNvGraphicFramePr/>
                  <a:graphic xmlns:a="http://schemas.openxmlformats.org/drawingml/2006/main">
                    <a:graphicData uri="http://schemas.openxmlformats.org/drawingml/2006/picture">
                      <pic:pic xmlns:pic="http://schemas.openxmlformats.org/drawingml/2006/picture">
                        <pic:nvPicPr>
                          <pic:cNvPr id="20" name="图片_13"/>
                          <pic:cNvPicPr/>
                        </pic:nvPicPr>
                        <pic:blipFill>
                          <a:blip r:embed="rId6"/>
                          <a:stretch>
                            <a:fillRect/>
                          </a:stretch>
                        </pic:blipFill>
                        <pic:spPr>
                          <a:xfrm>
                            <a:off x="0" y="0"/>
                            <a:ext cx="981075" cy="666750"/>
                          </a:xfrm>
                          <a:prstGeom prst="rect">
                            <a:avLst/>
                          </a:prstGeom>
                          <a:noFill/>
                          <a:ln>
                            <a:noFill/>
                          </a:ln>
                        </pic:spPr>
                      </pic:pic>
                    </a:graphicData>
                  </a:graphic>
                </wp:anchor>
              </w:drawing>
            </w:r>
          </w:p>
        </w:tc>
        <w:tc>
          <w:tcPr>
            <w:tcW w:w="310" w:type="pct"/>
            <w:noWrap w:val="0"/>
            <w:vAlign w:val="center"/>
          </w:tcPr>
          <w:p w14:paraId="53A99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492E7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4" w:type="pct"/>
            <w:noWrap w:val="0"/>
            <w:vAlign w:val="center"/>
          </w:tcPr>
          <w:p w14:paraId="137FB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277D57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544383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0B284B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4FAA06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5ACB1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6F867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480E6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4452A1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1B139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603D5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6E3A0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7E4168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01CB0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c>
          <w:tcPr>
            <w:tcW w:w="522" w:type="pct"/>
            <w:noWrap w:val="0"/>
            <w:vAlign w:val="center"/>
          </w:tcPr>
          <w:p w14:paraId="3CC53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420624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E31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33BD1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23" w:type="pct"/>
            <w:noWrap w:val="0"/>
            <w:vAlign w:val="center"/>
          </w:tcPr>
          <w:p w14:paraId="3213C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2400*400*2000</w:t>
            </w:r>
          </w:p>
        </w:tc>
        <w:tc>
          <w:tcPr>
            <w:tcW w:w="897" w:type="pct"/>
            <w:noWrap/>
            <w:vAlign w:val="center"/>
          </w:tcPr>
          <w:p w14:paraId="5A075887">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78720" behindDoc="0" locked="0" layoutInCell="1" allowOverlap="1">
                  <wp:simplePos x="0" y="0"/>
                  <wp:positionH relativeFrom="column">
                    <wp:posOffset>104775</wp:posOffset>
                  </wp:positionH>
                  <wp:positionV relativeFrom="paragraph">
                    <wp:posOffset>365125</wp:posOffset>
                  </wp:positionV>
                  <wp:extent cx="800100" cy="1962150"/>
                  <wp:effectExtent l="0" t="0" r="0" b="0"/>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8"/>
                          <a:stretch>
                            <a:fillRect/>
                          </a:stretch>
                        </pic:blipFill>
                        <pic:spPr>
                          <a:xfrm>
                            <a:off x="0" y="0"/>
                            <a:ext cx="800100" cy="1962150"/>
                          </a:xfrm>
                          <a:prstGeom prst="rect">
                            <a:avLst/>
                          </a:prstGeom>
                          <a:noFill/>
                          <a:ln>
                            <a:noFill/>
                          </a:ln>
                        </pic:spPr>
                      </pic:pic>
                    </a:graphicData>
                  </a:graphic>
                </wp:anchor>
              </w:drawing>
            </w:r>
          </w:p>
        </w:tc>
        <w:tc>
          <w:tcPr>
            <w:tcW w:w="310" w:type="pct"/>
            <w:noWrap w:val="0"/>
            <w:vAlign w:val="center"/>
          </w:tcPr>
          <w:p w14:paraId="6028A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666C8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4" w:type="pct"/>
            <w:noWrap w:val="0"/>
            <w:vAlign w:val="center"/>
          </w:tcPr>
          <w:p w14:paraId="14DBE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250F0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须提供2022年1月1日以来具有CMA、ilac-MRA、CNAS 标识的权威质量检测部门出具的实木颗粒板抽样检测报告扫描件，并加盖投标人公章。</w:t>
            </w:r>
          </w:p>
          <w:p w14:paraId="106BA7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4FA8C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462323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63D0A2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4537EA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79729E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p w14:paraId="790F83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1.操作力：当承受力M〈40kg是，推力或拉力≤5kg</w:t>
            </w:r>
          </w:p>
          <w:p w14:paraId="230EFD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2.耐久性：40000次以上</w:t>
            </w:r>
          </w:p>
          <w:p w14:paraId="5E63A5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3.垂直向下静载荷40kg</w:t>
            </w:r>
          </w:p>
          <w:p w14:paraId="092C25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4.水平侧向静载荷20kg</w:t>
            </w:r>
          </w:p>
          <w:p w14:paraId="763F2E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5.耐腐蚀：100h</w:t>
            </w:r>
          </w:p>
          <w:p w14:paraId="3F8810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6.抗盐雾：18h</w:t>
            </w:r>
          </w:p>
        </w:tc>
        <w:tc>
          <w:tcPr>
            <w:tcW w:w="522" w:type="pct"/>
            <w:noWrap w:val="0"/>
            <w:vAlign w:val="center"/>
          </w:tcPr>
          <w:p w14:paraId="4DB92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5F24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61F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4B16AF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23" w:type="pct"/>
            <w:noWrap w:val="0"/>
            <w:vAlign w:val="center"/>
          </w:tcPr>
          <w:p w14:paraId="10FFC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 公 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1060×600×500</w:t>
            </w:r>
          </w:p>
        </w:tc>
        <w:tc>
          <w:tcPr>
            <w:tcW w:w="897" w:type="pct"/>
            <w:noWrap/>
            <w:vAlign w:val="center"/>
          </w:tcPr>
          <w:p w14:paraId="6A7E9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13335</wp:posOffset>
                  </wp:positionH>
                  <wp:positionV relativeFrom="paragraph">
                    <wp:posOffset>2637155</wp:posOffset>
                  </wp:positionV>
                  <wp:extent cx="895350" cy="948690"/>
                  <wp:effectExtent l="0" t="0" r="0" b="3810"/>
                  <wp:wrapNone/>
                  <wp:docPr id="14" name="图片_20"/>
                  <wp:cNvGraphicFramePr/>
                  <a:graphic xmlns:a="http://schemas.openxmlformats.org/drawingml/2006/main">
                    <a:graphicData uri="http://schemas.openxmlformats.org/drawingml/2006/picture">
                      <pic:pic xmlns:pic="http://schemas.openxmlformats.org/drawingml/2006/picture">
                        <pic:nvPicPr>
                          <pic:cNvPr id="14" name="图片_20"/>
                          <pic:cNvPicPr/>
                        </pic:nvPicPr>
                        <pic:blipFill>
                          <a:blip r:embed="rId9"/>
                          <a:stretch>
                            <a:fillRect/>
                          </a:stretch>
                        </pic:blipFill>
                        <pic:spPr>
                          <a:xfrm>
                            <a:off x="0" y="0"/>
                            <a:ext cx="895350" cy="948690"/>
                          </a:xfrm>
                          <a:prstGeom prst="rect">
                            <a:avLst/>
                          </a:prstGeom>
                          <a:noFill/>
                          <a:ln>
                            <a:noFill/>
                          </a:ln>
                        </pic:spPr>
                      </pic:pic>
                    </a:graphicData>
                  </a:graphic>
                </wp:anchor>
              </w:drawing>
            </w:r>
          </w:p>
        </w:tc>
        <w:tc>
          <w:tcPr>
            <w:tcW w:w="310" w:type="pct"/>
            <w:noWrap w:val="0"/>
            <w:vAlign w:val="center"/>
          </w:tcPr>
          <w:p w14:paraId="30D33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72845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4" w:type="pct"/>
            <w:noWrap w:val="0"/>
            <w:vAlign w:val="center"/>
          </w:tcPr>
          <w:p w14:paraId="0C6727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1、饰面：采用优质西皮，符合GB/T 16799-2018《家具用皮革》标准，撕裂力≥90N，摩擦色牢度干擦（500 次）、 湿擦（250 次）、碱性汗液（80 次）≥4 级，气味≤2 级，耐光性≥5 级，禁用偶氮染料（23类）的含量未检出、游离甲醛含量≤20mg/kg，挥发性有机化合物≤20mg/kg，PH 值≥7，可萃取重金属铅含量、镉含量均≤1mg/kg；涂层粘着牢度≥5N/10mm。须提供2022 年1月1日以来有CMA、ilac-MRA、CNAS 标识的权威质量检测部门出具的西皮抽样检测报告扫描件，并加盖投标人公章。</w:t>
            </w:r>
          </w:p>
          <w:p w14:paraId="61CBD7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p>
          <w:p w14:paraId="47EF8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3、成型胶合板：成型胶合板，含水率，浸渍剥离性能每一边剥离长度累计≤25mm，抗压性能无破损，断裂，</w:t>
            </w:r>
          </w:p>
          <w:p w14:paraId="4D821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不脱胶，无异常声响，甲醛释放量，均符合国家标准。</w:t>
            </w:r>
          </w:p>
          <w:p w14:paraId="1C2C9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4、弓形脚：五金弓形脚，壁厚2.0mm钢管折弯而成，表面电镀。</w:t>
            </w:r>
          </w:p>
        </w:tc>
        <w:tc>
          <w:tcPr>
            <w:tcW w:w="522" w:type="pct"/>
            <w:noWrap w:val="0"/>
            <w:vAlign w:val="center"/>
          </w:tcPr>
          <w:p w14:paraId="45780B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47803B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048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3C4591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23" w:type="pct"/>
            <w:noWrap w:val="0"/>
            <w:vAlign w:val="center"/>
          </w:tcPr>
          <w:p w14:paraId="37424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经理接待室桌子2000W×1000D×750H</w:t>
            </w:r>
          </w:p>
        </w:tc>
        <w:tc>
          <w:tcPr>
            <w:tcW w:w="897" w:type="pct"/>
            <w:noWrap/>
            <w:vAlign w:val="center"/>
          </w:tcPr>
          <w:p w14:paraId="68ABBB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2416175</wp:posOffset>
                  </wp:positionV>
                  <wp:extent cx="942975" cy="733425"/>
                  <wp:effectExtent l="0" t="0" r="9525" b="9525"/>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10"/>
                          <a:stretch>
                            <a:fillRect/>
                          </a:stretch>
                        </pic:blipFill>
                        <pic:spPr>
                          <a:xfrm>
                            <a:off x="0" y="0"/>
                            <a:ext cx="942975" cy="733425"/>
                          </a:xfrm>
                          <a:prstGeom prst="rect">
                            <a:avLst/>
                          </a:prstGeom>
                          <a:noFill/>
                          <a:ln>
                            <a:noFill/>
                          </a:ln>
                        </pic:spPr>
                      </pic:pic>
                    </a:graphicData>
                  </a:graphic>
                </wp:anchor>
              </w:drawing>
            </w:r>
          </w:p>
        </w:tc>
        <w:tc>
          <w:tcPr>
            <w:tcW w:w="310" w:type="pct"/>
            <w:noWrap w:val="0"/>
            <w:vAlign w:val="center"/>
          </w:tcPr>
          <w:p w14:paraId="44ECB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15F45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noWrap w:val="0"/>
            <w:vAlign w:val="center"/>
          </w:tcPr>
          <w:p w14:paraId="526C93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5FF5B4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29E787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6BF51A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FEF5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3674F5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03DA74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263EB7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51B946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E71F4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5E26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3F4F56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23" w:type="pct"/>
            <w:noWrap w:val="0"/>
            <w:vAlign w:val="center"/>
          </w:tcPr>
          <w:p w14:paraId="206BA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经理接待室椅子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910×510×</w:t>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899160</wp:posOffset>
                  </wp:positionH>
                  <wp:positionV relativeFrom="paragraph">
                    <wp:posOffset>2680970</wp:posOffset>
                  </wp:positionV>
                  <wp:extent cx="782955" cy="1188720"/>
                  <wp:effectExtent l="0" t="0" r="17145" b="11430"/>
                  <wp:wrapNone/>
                  <wp:docPr id="15" name="图片_22"/>
                  <wp:cNvGraphicFramePr/>
                  <a:graphic xmlns:a="http://schemas.openxmlformats.org/drawingml/2006/main">
                    <a:graphicData uri="http://schemas.openxmlformats.org/drawingml/2006/picture">
                      <pic:pic xmlns:pic="http://schemas.openxmlformats.org/drawingml/2006/picture">
                        <pic:nvPicPr>
                          <pic:cNvPr id="15" name="图片_22"/>
                          <pic:cNvPicPr/>
                        </pic:nvPicPr>
                        <pic:blipFill>
                          <a:blip r:embed="rId11"/>
                          <a:stretch>
                            <a:fillRect/>
                          </a:stretch>
                        </pic:blipFill>
                        <pic:spPr>
                          <a:xfrm>
                            <a:off x="0" y="0"/>
                            <a:ext cx="782955" cy="11887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600</w:t>
            </w:r>
          </w:p>
        </w:tc>
        <w:tc>
          <w:tcPr>
            <w:tcW w:w="897" w:type="pct"/>
            <w:noWrap/>
            <w:vAlign w:val="center"/>
          </w:tcPr>
          <w:p w14:paraId="67506F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310" w:type="pct"/>
            <w:noWrap w:val="0"/>
            <w:vAlign w:val="center"/>
          </w:tcPr>
          <w:p w14:paraId="104B9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7C05B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4" w:type="pct"/>
            <w:noWrap w:val="0"/>
            <w:vAlign w:val="center"/>
          </w:tcPr>
          <w:p w14:paraId="4CDCA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网布：无异味；甲醛含量：未检出。Ph值A类5.0，染色牢度（耐水、耐酸汗渍、耐碱汗渍、耐干摩擦、耐唾液）均≥4级；阻燃Ⅱ级。可萃取重金属六价铬未检出；可分解致癌芳香胺染料（禁用）未检出。符合GB 18401-2010《国家纺织产品基本安全技术规范》、QB/T 1952.1-2012《软体家具沙发》。</w:t>
            </w:r>
          </w:p>
          <w:p w14:paraId="022AFC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曲木板：坐垫曲木板为14mm多层曲木板热压成型。</w:t>
            </w:r>
          </w:p>
          <w:p w14:paraId="3E791C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海绵：采用优质品牌高弹海绵，海绵厚度40mm 以上，不塌陷不变形耐用度高。符合GB/T 10802-2006《通用软质聚醚型聚氨酯泡沫塑料》、GB 17927.2-2011《软体家具 床垫和沙发 抗引燃特性的评定 第 2 部分:模拟火柴火焰》、QB/T 1952.1-2012《软体家具 沙发》。颜色均匀，允许轻微杂色、黄芯。不允许有长度大于 6mm 的对穿孔和长度大于 10mm 的气孔。每平方米内弥和裂缝总长小于100mm，最大裂缝小于 30mm。片材两侧斜表皮宽度不超过厚度的一倍，并且最大不得超过40mm，不允许严重污染，无刺激性气味；25%压陷硬度178N；65%/25%压陷比3.1；75%压陷永久变形≤6.4%；回弹率≥59%；拉伸强度≥157kpa；伸长率≥136%；撕裂强度≥7.9N/cm；干热老化后拉伸强度≥118kpa；干热老化后拉伸强度变化率≤±25%；湿热老化后拉伸强度≥55kpa；湿热老化后拉伸强度变化率≤±14%；恒定负荷反复压陷疲劳后40%压陷硬度损失值CP≤33%；甲醛释放量（mg/m²h）未检出，TVOC≤ 0.07 mg/m²h。泡沫塑料-回弹性能≥59%，达到A级；抗引燃性达到Ⅱ级。</w:t>
            </w:r>
          </w:p>
          <w:p w14:paraId="2F5F8A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椅脚：2.0mm钢管折弯而成，承重102KG下往复拉力测试</w:t>
            </w:r>
          </w:p>
          <w:p w14:paraId="4628F2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标识的权威质量检测部门出具的海绵抽样检测报告扫描件，并加盖投标人公章。</w:t>
            </w:r>
          </w:p>
          <w:p w14:paraId="708147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w:t>
            </w:r>
          </w:p>
        </w:tc>
        <w:tc>
          <w:tcPr>
            <w:tcW w:w="522" w:type="pct"/>
            <w:noWrap w:val="0"/>
            <w:vAlign w:val="center"/>
          </w:tcPr>
          <w:p w14:paraId="7D497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7212FD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64D3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06C271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23" w:type="pct"/>
            <w:noWrap w:val="0"/>
            <w:vAlign w:val="center"/>
          </w:tcPr>
          <w:p w14:paraId="3422F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大会议室桌子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7000×2200×750</w:t>
            </w:r>
          </w:p>
        </w:tc>
        <w:tc>
          <w:tcPr>
            <w:tcW w:w="897" w:type="pct"/>
            <w:noWrap/>
            <w:vAlign w:val="center"/>
          </w:tcPr>
          <w:p w14:paraId="41211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51435</wp:posOffset>
                  </wp:positionH>
                  <wp:positionV relativeFrom="paragraph">
                    <wp:posOffset>3797935</wp:posOffset>
                  </wp:positionV>
                  <wp:extent cx="852805" cy="514985"/>
                  <wp:effectExtent l="0" t="0" r="4445" b="18415"/>
                  <wp:wrapNone/>
                  <wp:docPr id="16" name="图片_11"/>
                  <wp:cNvGraphicFramePr/>
                  <a:graphic xmlns:a="http://schemas.openxmlformats.org/drawingml/2006/main">
                    <a:graphicData uri="http://schemas.openxmlformats.org/drawingml/2006/picture">
                      <pic:pic xmlns:pic="http://schemas.openxmlformats.org/drawingml/2006/picture">
                        <pic:nvPicPr>
                          <pic:cNvPr id="16" name="图片_11"/>
                          <pic:cNvPicPr/>
                        </pic:nvPicPr>
                        <pic:blipFill>
                          <a:blip r:embed="rId12"/>
                          <a:stretch>
                            <a:fillRect/>
                          </a:stretch>
                        </pic:blipFill>
                        <pic:spPr>
                          <a:xfrm>
                            <a:off x="0" y="0"/>
                            <a:ext cx="852805" cy="514985"/>
                          </a:xfrm>
                          <a:prstGeom prst="rect">
                            <a:avLst/>
                          </a:prstGeom>
                          <a:noFill/>
                          <a:ln>
                            <a:noFill/>
                          </a:ln>
                        </pic:spPr>
                      </pic:pic>
                    </a:graphicData>
                  </a:graphic>
                </wp:anchor>
              </w:drawing>
            </w:r>
          </w:p>
        </w:tc>
        <w:tc>
          <w:tcPr>
            <w:tcW w:w="310" w:type="pct"/>
            <w:noWrap w:val="0"/>
            <w:vAlign w:val="center"/>
          </w:tcPr>
          <w:p w14:paraId="77445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778E0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noWrap w:val="0"/>
            <w:vAlign w:val="center"/>
          </w:tcPr>
          <w:p w14:paraId="6AA126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066FB1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5838A5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337400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61E9E9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380A9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5C899F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00B148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551305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8384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038D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31AE5E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23" w:type="pct"/>
            <w:noWrap w:val="0"/>
            <w:vAlign w:val="center"/>
          </w:tcPr>
          <w:p w14:paraId="46725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办公及会议椅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1050×590×550</w:t>
            </w:r>
          </w:p>
        </w:tc>
        <w:tc>
          <w:tcPr>
            <w:tcW w:w="897" w:type="pct"/>
            <w:noWrap/>
            <w:vAlign w:val="center"/>
          </w:tcPr>
          <w:p w14:paraId="7F630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205740</wp:posOffset>
                  </wp:positionH>
                  <wp:positionV relativeFrom="paragraph">
                    <wp:posOffset>2298700</wp:posOffset>
                  </wp:positionV>
                  <wp:extent cx="782955" cy="1188720"/>
                  <wp:effectExtent l="0" t="0" r="17145" b="11430"/>
                  <wp:wrapNone/>
                  <wp:docPr id="17" name="图片_24"/>
                  <wp:cNvGraphicFramePr/>
                  <a:graphic xmlns:a="http://schemas.openxmlformats.org/drawingml/2006/main">
                    <a:graphicData uri="http://schemas.openxmlformats.org/drawingml/2006/picture">
                      <pic:pic xmlns:pic="http://schemas.openxmlformats.org/drawingml/2006/picture">
                        <pic:nvPicPr>
                          <pic:cNvPr id="17" name="图片_24"/>
                          <pic:cNvPicPr/>
                        </pic:nvPicPr>
                        <pic:blipFill>
                          <a:blip r:embed="rId11"/>
                          <a:stretch>
                            <a:fillRect/>
                          </a:stretch>
                        </pic:blipFill>
                        <pic:spPr>
                          <a:xfrm>
                            <a:off x="0" y="0"/>
                            <a:ext cx="782955" cy="1188720"/>
                          </a:xfrm>
                          <a:prstGeom prst="rect">
                            <a:avLst/>
                          </a:prstGeom>
                          <a:noFill/>
                          <a:ln>
                            <a:noFill/>
                          </a:ln>
                        </pic:spPr>
                      </pic:pic>
                    </a:graphicData>
                  </a:graphic>
                </wp:anchor>
              </w:drawing>
            </w:r>
          </w:p>
        </w:tc>
        <w:tc>
          <w:tcPr>
            <w:tcW w:w="310" w:type="pct"/>
            <w:noWrap w:val="0"/>
            <w:vAlign w:val="center"/>
          </w:tcPr>
          <w:p w14:paraId="082B3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495ED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364" w:type="pct"/>
            <w:noWrap w:val="0"/>
            <w:vAlign w:val="center"/>
          </w:tcPr>
          <w:p w14:paraId="4B9A2C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网布：无异味；甲醛含量：未检出。Ph值A类5.0，染色牢度（耐水、耐酸汗渍、耐碱汗渍、耐干摩擦、耐唾液）均≥4级；阻燃Ⅱ级。可萃取重金属六价铬未检出；可分解致癌芳香胺染料（禁用）未检出。符合GB 18401-2010《国家纺织产品基本安全技术规范》、QB/T 1952.1-2012《软体家具沙发》。</w:t>
            </w:r>
          </w:p>
          <w:p w14:paraId="205C3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曲木板：坐垫曲木板为14mm多层曲木板热压成型。</w:t>
            </w:r>
          </w:p>
          <w:p w14:paraId="38AD87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海绵：采用优质品牌高弹海绵，海绵厚度40mm 以上，不塌陷不变形耐用度高。符合GB/T 10802-2006《通用软质聚醚型聚氨酯泡沫塑料》、GB 17927.2-2011《软体家具 床垫和沙发 抗引燃特性的评定 第 2 部分:模拟火柴火焰》、QB/T 1952.1-2012《软体家具 沙发》。颜色均匀，允许轻微杂色、黄芯。不允许有长度大于 6mm 的对穿孔和长度大于 10mm 的气孔。每平方米内弥和裂缝总长小于100mm，最大裂缝小于 30mm。片材两侧斜表皮宽度不超过厚度的一倍，并且最大不得超过40mm，不允许严重污染，无刺激性气味；25%压陷硬度178N；65%/25%压陷比3.1；75%压陷永久变形≤6.4%；回弹率≥59%；拉伸强度≥157kpa；伸长率≥136%；撕裂强度≥7.9N/cm；干热老化后拉伸强度≥118kpa；干热老化后拉伸强度变化率≤±25%；湿热老化后拉伸强度≥55kpa；湿热老化后拉伸强度变化率≤±14%；恒定负荷反复压陷疲劳后40%压陷硬度损失值CP≤33%；甲醛释放量（mg/m²h）未检出，TVOC≤ 0.07 mg/m²h。泡沫塑料-回弹性能≥59%，达到A级；抗引燃性达到Ⅱ级。</w:t>
            </w:r>
          </w:p>
          <w:p w14:paraId="2055AA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椅脚：2.0mm钢管折弯而成，承重102KG下往复拉力测试</w:t>
            </w:r>
          </w:p>
          <w:p w14:paraId="51861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标识的权威质量检测部门出具的海绵抽样检测报告扫描件，并加盖投标人公章。</w:t>
            </w:r>
          </w:p>
          <w:p w14:paraId="2B3ADA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w:t>
            </w:r>
          </w:p>
        </w:tc>
        <w:tc>
          <w:tcPr>
            <w:tcW w:w="522" w:type="pct"/>
            <w:noWrap w:val="0"/>
            <w:vAlign w:val="center"/>
          </w:tcPr>
          <w:p w14:paraId="1A7AB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3AACC1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436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1C275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4328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521F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A012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5891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BAA1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2053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D19F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D1F8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09C7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B099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CFB32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3" w:type="pct"/>
            <w:noWrap w:val="0"/>
            <w:vAlign w:val="center"/>
          </w:tcPr>
          <w:p w14:paraId="31FA0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CD4C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F6A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6CE0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C65B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8CC6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CDBB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2EA5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CE27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小会议室桌子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4200W×1500D×750H</w:t>
            </w:r>
          </w:p>
        </w:tc>
        <w:tc>
          <w:tcPr>
            <w:tcW w:w="897" w:type="pct"/>
            <w:noWrap/>
            <w:vAlign w:val="center"/>
          </w:tcPr>
          <w:p w14:paraId="487699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-32385</wp:posOffset>
                  </wp:positionH>
                  <wp:positionV relativeFrom="paragraph">
                    <wp:posOffset>1448435</wp:posOffset>
                  </wp:positionV>
                  <wp:extent cx="995680" cy="487045"/>
                  <wp:effectExtent l="0" t="0" r="13970" b="8255"/>
                  <wp:wrapNone/>
                  <wp:docPr id="10" name="图片_26"/>
                  <wp:cNvGraphicFramePr/>
                  <a:graphic xmlns:a="http://schemas.openxmlformats.org/drawingml/2006/main">
                    <a:graphicData uri="http://schemas.openxmlformats.org/drawingml/2006/picture">
                      <pic:pic xmlns:pic="http://schemas.openxmlformats.org/drawingml/2006/picture">
                        <pic:nvPicPr>
                          <pic:cNvPr id="10" name="图片_26"/>
                          <pic:cNvPicPr/>
                        </pic:nvPicPr>
                        <pic:blipFill>
                          <a:blip r:embed="rId12"/>
                          <a:stretch>
                            <a:fillRect/>
                          </a:stretch>
                        </pic:blipFill>
                        <pic:spPr>
                          <a:xfrm>
                            <a:off x="0" y="0"/>
                            <a:ext cx="995680" cy="487045"/>
                          </a:xfrm>
                          <a:prstGeom prst="rect">
                            <a:avLst/>
                          </a:prstGeom>
                          <a:noFill/>
                          <a:ln>
                            <a:noFill/>
                          </a:ln>
                        </pic:spPr>
                      </pic:pic>
                    </a:graphicData>
                  </a:graphic>
                </wp:anchor>
              </w:drawing>
            </w:r>
          </w:p>
        </w:tc>
        <w:tc>
          <w:tcPr>
            <w:tcW w:w="310" w:type="pct"/>
            <w:noWrap w:val="0"/>
            <w:vAlign w:val="center"/>
          </w:tcPr>
          <w:p w14:paraId="592EF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077A9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4" w:type="pct"/>
            <w:noWrap w:val="0"/>
            <w:vAlign w:val="center"/>
          </w:tcPr>
          <w:p w14:paraId="162C07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6FC685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4C6A14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4C086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7B5ED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60247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50AE2E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289F41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2CB0E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1654B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B4A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2E92A0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723" w:type="pct"/>
            <w:noWrap w:val="0"/>
            <w:vAlign w:val="center"/>
          </w:tcPr>
          <w:p w14:paraId="05B74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小会议室桌</w:t>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861695</wp:posOffset>
                  </wp:positionH>
                  <wp:positionV relativeFrom="paragraph">
                    <wp:posOffset>2848610</wp:posOffset>
                  </wp:positionV>
                  <wp:extent cx="909320" cy="695960"/>
                  <wp:effectExtent l="0" t="0" r="5080" b="8890"/>
                  <wp:wrapNone/>
                  <wp:docPr id="11" name="图片_27"/>
                  <wp:cNvGraphicFramePr/>
                  <a:graphic xmlns:a="http://schemas.openxmlformats.org/drawingml/2006/main">
                    <a:graphicData uri="http://schemas.openxmlformats.org/drawingml/2006/picture">
                      <pic:pic xmlns:pic="http://schemas.openxmlformats.org/drawingml/2006/picture">
                        <pic:nvPicPr>
                          <pic:cNvPr id="11" name="图片_27"/>
                          <pic:cNvPicPr/>
                        </pic:nvPicPr>
                        <pic:blipFill>
                          <a:blip r:embed="rId12"/>
                          <a:stretch>
                            <a:fillRect/>
                          </a:stretch>
                        </pic:blipFill>
                        <pic:spPr>
                          <a:xfrm>
                            <a:off x="0" y="0"/>
                            <a:ext cx="909320" cy="6959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3600W×1400D×760H</w:t>
            </w:r>
          </w:p>
        </w:tc>
        <w:tc>
          <w:tcPr>
            <w:tcW w:w="897" w:type="pct"/>
            <w:noWrap/>
            <w:vAlign w:val="center"/>
          </w:tcPr>
          <w:p w14:paraId="232F3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310" w:type="pct"/>
            <w:noWrap w:val="0"/>
            <w:vAlign w:val="center"/>
          </w:tcPr>
          <w:p w14:paraId="70168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7F05D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noWrap w:val="0"/>
            <w:vAlign w:val="center"/>
          </w:tcPr>
          <w:p w14:paraId="61F65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631FF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2878C0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06227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5B430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57DED1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0EB186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716A09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078B3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42D38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225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7A5D8E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23" w:type="pct"/>
            <w:noWrap w:val="0"/>
            <w:vAlign w:val="center"/>
          </w:tcPr>
          <w:p w14:paraId="47B7C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1440W×1420D×1100H</w:t>
            </w:r>
          </w:p>
        </w:tc>
        <w:tc>
          <w:tcPr>
            <w:tcW w:w="897" w:type="pct"/>
            <w:noWrap/>
            <w:vAlign w:val="center"/>
          </w:tcPr>
          <w:p w14:paraId="0DA97A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9504" behindDoc="0" locked="0" layoutInCell="1" allowOverlap="1">
                  <wp:simplePos x="0" y="0"/>
                  <wp:positionH relativeFrom="column">
                    <wp:posOffset>63500</wp:posOffset>
                  </wp:positionH>
                  <wp:positionV relativeFrom="paragraph">
                    <wp:posOffset>1939925</wp:posOffset>
                  </wp:positionV>
                  <wp:extent cx="810895" cy="1000760"/>
                  <wp:effectExtent l="0" t="0" r="8255" b="8890"/>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13"/>
                          <a:stretch>
                            <a:fillRect/>
                          </a:stretch>
                        </pic:blipFill>
                        <pic:spPr>
                          <a:xfrm>
                            <a:off x="0" y="0"/>
                            <a:ext cx="810895" cy="1000760"/>
                          </a:xfrm>
                          <a:prstGeom prst="rect">
                            <a:avLst/>
                          </a:prstGeom>
                          <a:noFill/>
                          <a:ln>
                            <a:noFill/>
                          </a:ln>
                        </pic:spPr>
                      </pic:pic>
                    </a:graphicData>
                  </a:graphic>
                </wp:anchor>
              </w:drawing>
            </w:r>
          </w:p>
        </w:tc>
        <w:tc>
          <w:tcPr>
            <w:tcW w:w="310" w:type="pct"/>
            <w:noWrap w:val="0"/>
            <w:vAlign w:val="center"/>
          </w:tcPr>
          <w:p w14:paraId="52EB6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96" w:type="pct"/>
            <w:noWrap w:val="0"/>
            <w:vAlign w:val="center"/>
          </w:tcPr>
          <w:p w14:paraId="0D2ED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64" w:type="pct"/>
            <w:noWrap w:val="0"/>
            <w:vAlign w:val="center"/>
          </w:tcPr>
          <w:p w14:paraId="4EB385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绿色环保E0级环保双面成型板，面板厚度25mm。面板尺寸1400*1400，甲醛释放量≤4.1mg/100g。内粘力≥0.7N/MM2，木钉固定力度≥50N/MM2，甲醛释放量≤5mg/L.符合GB/T4897-2015、GB/T35601-2017标准，静曲强度≥14MPa，弹性模量≥2800MPa，内胶合强度≥0.5MPa，表面胶合强度≥1.2MPa，2h吸水厚度膨胀率≤0.8%，板面握螺钉力≥1000N，板边握螺钉力≥700N，甲醛释放量≤0.01mg/m³,产品有害物质（苯、甲、苯、二甲苯）均未检出，总挥发性有机物（TVOC）≤18μg/m³。</w:t>
            </w:r>
          </w:p>
          <w:p w14:paraId="795A27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封边：采用PVC封边条，符合QB/T4463-2013标准，外观、规格尺寸及其偏差和形状公差检测合格；耐干热性无龟裂、无鼓泡，耐磨性磨30r后无露底现象，耐开裂性≥1级，耐老化性无开裂，耐冷热循环性无龟裂、无鼓泡、无变色、无起皱，耐光色牢度4-5级，多溴联苯未检出，多溴联苯醚未检出，甲醛释放量未检出，邻苯二甲酸酯未检出，氯乙烯单台未检出，可迁移元素（铅、镉、铬、汞、砷、钡、锑、硒）含量均未检出。</w:t>
            </w:r>
          </w:p>
          <w:p w14:paraId="40859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海蒂诗优质五金配件，其中缓冲铰链符合QB/T2189-2013QB/T3832-1999QB/T3827-1999标准，过载要求：垂直静载荷满足要求，功能：在耐久性试验前后，具有自动关闭装置的杯状暗铰链的关闭力≥2.2N；下沉量≤0.5mm；耐腐蚀（180h乙酸盐雾试验）≥10级。</w:t>
            </w:r>
          </w:p>
          <w:p w14:paraId="20337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4、屏风用40款氧化铝铝材，铝材厚度大于16mm，采用一体成型挤压。表面抗氧化处理。</w:t>
            </w:r>
          </w:p>
        </w:tc>
        <w:tc>
          <w:tcPr>
            <w:tcW w:w="522" w:type="pct"/>
            <w:noWrap w:val="0"/>
            <w:vAlign w:val="center"/>
          </w:tcPr>
          <w:p w14:paraId="2FB85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02233B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3C9F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309EF0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723" w:type="pct"/>
            <w:noWrap w:val="0"/>
            <w:vAlign w:val="center"/>
          </w:tcPr>
          <w:p w14:paraId="42944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工位1400*700*750</w:t>
            </w:r>
          </w:p>
        </w:tc>
        <w:tc>
          <w:tcPr>
            <w:tcW w:w="897" w:type="pct"/>
            <w:noWrap/>
            <w:vAlign w:val="center"/>
          </w:tcPr>
          <w:p w14:paraId="547718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70528" behindDoc="0" locked="0" layoutInCell="1" allowOverlap="1">
                  <wp:simplePos x="0" y="0"/>
                  <wp:positionH relativeFrom="column">
                    <wp:posOffset>-28575</wp:posOffset>
                  </wp:positionH>
                  <wp:positionV relativeFrom="paragraph">
                    <wp:posOffset>793750</wp:posOffset>
                  </wp:positionV>
                  <wp:extent cx="914400" cy="838835"/>
                  <wp:effectExtent l="0" t="0" r="0" b="18415"/>
                  <wp:wrapNone/>
                  <wp:docPr id="3" name="图片_10"/>
                  <wp:cNvGraphicFramePr/>
                  <a:graphic xmlns:a="http://schemas.openxmlformats.org/drawingml/2006/main">
                    <a:graphicData uri="http://schemas.openxmlformats.org/drawingml/2006/picture">
                      <pic:pic xmlns:pic="http://schemas.openxmlformats.org/drawingml/2006/picture">
                        <pic:nvPicPr>
                          <pic:cNvPr id="3" name="图片_10"/>
                          <pic:cNvPicPr/>
                        </pic:nvPicPr>
                        <pic:blipFill>
                          <a:blip r:embed="rId14"/>
                          <a:stretch>
                            <a:fillRect/>
                          </a:stretch>
                        </pic:blipFill>
                        <pic:spPr>
                          <a:xfrm>
                            <a:off x="0" y="0"/>
                            <a:ext cx="914400" cy="838835"/>
                          </a:xfrm>
                          <a:prstGeom prst="rect">
                            <a:avLst/>
                          </a:prstGeom>
                          <a:noFill/>
                          <a:ln>
                            <a:noFill/>
                          </a:ln>
                        </pic:spPr>
                      </pic:pic>
                    </a:graphicData>
                  </a:graphic>
                </wp:anchor>
              </w:drawing>
            </w:r>
          </w:p>
        </w:tc>
        <w:tc>
          <w:tcPr>
            <w:tcW w:w="310" w:type="pct"/>
            <w:noWrap w:val="0"/>
            <w:vAlign w:val="center"/>
          </w:tcPr>
          <w:p w14:paraId="6D612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96" w:type="pct"/>
            <w:noWrap w:val="0"/>
            <w:vAlign w:val="center"/>
          </w:tcPr>
          <w:p w14:paraId="0CF0C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64" w:type="pct"/>
            <w:noWrap w:val="0"/>
            <w:vAlign w:val="center"/>
          </w:tcPr>
          <w:p w14:paraId="1CC23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绿色环保E0级环保双面成型板，面板厚度25mm。面板尺寸1400*1400，甲醛释放量≤4.1mg/100g。内粘力≥0.7N/MM2，木钉固定力度≥50N/MM2，甲醛释放量≤5mg/L.符合GB/T4897-2015、GB/T35601-2017标准，静曲强度≥14MPa，弹性模量≥2800MPa，内胶合强度≥0.5MPa，表面胶合强度≥1.2MPa，2h吸水厚度膨胀率≤0.8%，板面握螺钉力≥1000N，板边握螺钉力≥700N，甲醛释放量≤0.01mg/m³,产品有害物质（苯、甲、苯、二甲苯）均未检出，总挥发性有机物（TVOC）≤18μg/m³。</w:t>
            </w:r>
          </w:p>
          <w:p w14:paraId="79B6EA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封边：采用PVC封边条，符合QB/T4463-2013标准，外观、规格尺寸及其偏差和形状公差检测合格；耐干热性无龟裂、无鼓泡，耐磨性磨30r后无露底现象，耐开裂性≥1级，耐老化性无开裂，耐冷热循环性无龟裂、无鼓泡、无变色、无起皱，耐光色牢度4-5级，多溴联苯未检出，多溴联苯醚未检出，甲醛释放量未检出，邻苯二甲酸酯未检出，氯乙烯单台未检出，可迁移元素（铅、镉、铬、汞、砷、钡、锑、硒）含量均未检出。</w:t>
            </w:r>
          </w:p>
          <w:p w14:paraId="641DEB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海蒂诗优质五金配件，其中缓冲铰链符合QB/T2189-2013QB/T3832-1999QB/T3827-1999标准，过载要求：垂直静载荷满足要求，功能：在耐久性试验前后，具有自动关闭装置的杯状暗铰链的关闭力≥2.2N；下沉量≤0.5mm；耐腐蚀（180h乙酸盐雾试验）≥10级。</w:t>
            </w:r>
          </w:p>
          <w:p w14:paraId="25ABF6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4、屏风用40款氧化铝铝材，铝材厚度大于16mm，采用一体成型挤压。表面抗氧化处理。</w:t>
            </w:r>
          </w:p>
        </w:tc>
        <w:tc>
          <w:tcPr>
            <w:tcW w:w="522" w:type="pct"/>
            <w:noWrap w:val="0"/>
            <w:vAlign w:val="center"/>
          </w:tcPr>
          <w:p w14:paraId="62FABD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6230C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54A3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322" w:type="pct"/>
            <w:noWrap w:val="0"/>
            <w:vAlign w:val="center"/>
          </w:tcPr>
          <w:p w14:paraId="2C1CF3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723" w:type="pct"/>
            <w:noWrap w:val="0"/>
            <w:vAlign w:val="center"/>
          </w:tcPr>
          <w:p w14:paraId="7585F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12列搬运拆装</w:t>
            </w:r>
          </w:p>
        </w:tc>
        <w:tc>
          <w:tcPr>
            <w:tcW w:w="897" w:type="pct"/>
            <w:noWrap/>
            <w:vAlign w:val="center"/>
          </w:tcPr>
          <w:p w14:paraId="531E4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-10160</wp:posOffset>
                  </wp:positionH>
                  <wp:positionV relativeFrom="paragraph">
                    <wp:posOffset>47625</wp:posOffset>
                  </wp:positionV>
                  <wp:extent cx="977900" cy="595630"/>
                  <wp:effectExtent l="0" t="0" r="12700" b="13970"/>
                  <wp:wrapNone/>
                  <wp:docPr id="6" name="图片_7_SpCnt_1"/>
                  <wp:cNvGraphicFramePr/>
                  <a:graphic xmlns:a="http://schemas.openxmlformats.org/drawingml/2006/main">
                    <a:graphicData uri="http://schemas.openxmlformats.org/drawingml/2006/picture">
                      <pic:pic xmlns:pic="http://schemas.openxmlformats.org/drawingml/2006/picture">
                        <pic:nvPicPr>
                          <pic:cNvPr id="6" name="图片_7_SpCnt_1"/>
                          <pic:cNvPicPr/>
                        </pic:nvPicPr>
                        <pic:blipFill>
                          <a:blip r:embed="rId15"/>
                          <a:stretch>
                            <a:fillRect/>
                          </a:stretch>
                        </pic:blipFill>
                        <pic:spPr>
                          <a:xfrm>
                            <a:off x="0" y="0"/>
                            <a:ext cx="977900" cy="595630"/>
                          </a:xfrm>
                          <a:prstGeom prst="rect">
                            <a:avLst/>
                          </a:prstGeom>
                          <a:noFill/>
                          <a:ln>
                            <a:noFill/>
                          </a:ln>
                        </pic:spPr>
                      </pic:pic>
                    </a:graphicData>
                  </a:graphic>
                </wp:anchor>
              </w:drawing>
            </w:r>
          </w:p>
        </w:tc>
        <w:tc>
          <w:tcPr>
            <w:tcW w:w="310" w:type="pct"/>
            <w:noWrap w:val="0"/>
            <w:vAlign w:val="center"/>
          </w:tcPr>
          <w:p w14:paraId="33028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6" w:type="pct"/>
            <w:noWrap w:val="0"/>
            <w:vAlign w:val="center"/>
          </w:tcPr>
          <w:p w14:paraId="1C0B9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vMerge w:val="restart"/>
            <w:noWrap w:val="0"/>
            <w:vAlign w:val="center"/>
          </w:tcPr>
          <w:p w14:paraId="2D7C4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所有柜体加装双面门,锁密集柜材质说明：主要技术参数</w:t>
            </w:r>
          </w:p>
          <w:p w14:paraId="06DEE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底盘：采用3.0mm宝钢优质冷轧钢板，底盘采用分段焊接后整体组装式，连接牢固，运输、安装方便。底盘各段连接采用M10螺栓紧固，纵梁上按节距冲有矩形槽，槽下焊有夹紧板，以供立柱插入后用M10箍紧拧固。滚轮横梁采用四折成形，确保在外力作用下无任何变形情况发生。底梁下部要装有防倒支架以防架体倾倒，底盘两端封头横梁与纵梁牢固焊接，在直角处上、下两平面均焊上三角形加强板，有效保证了底盘架体不扭曲、错位和变形等。产品设有安全限位，每列密集架根据需要可安装防倒装置和档块，防倒装置为3.0mm宝钢优质冷轧钢板折弯。</w:t>
            </w:r>
          </w:p>
          <w:p w14:paraId="08F55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2、地轨、导轨：导轨由20*20mm实心方钢与3.0mm热轧钢板弯制的轨座焊接成形，每米载荷≥1000kg，密集架埋入轨道要求：每两条轨平行偏差不大于1.0mm，在任何1m长度内水平偏差不大于1mm，全长不大于4mm。</w:t>
            </w:r>
          </w:p>
          <w:p w14:paraId="58971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立柱：采用1.5mm宝钢优质冷轧钢板，四次折弯成型，截面35*50mm。立柱两面均布冲裁可上、下调节的挂孔，经四次折弯成矩形柱体，每拼立柱采用上、中、下四根连接横梁焊成整体，并在两侧设置斜拉筋，达到结构坚固合理、美观大方不变形。立柱下端直接插入底盘固定矩形孔内，通过夹紧块将立柱紧锁抱紧于底盘上，螺栓（M10×55带双弹垫，8.8级）坚固，立柱上端与顶板通过螺栓（M8×20带双弹垫，8.8级）紧固，立柱内由套管支撑卡死，使立杆顶部形成整体， 增强了架体的整体刚性。</w:t>
            </w:r>
          </w:p>
          <w:p w14:paraId="18447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4、侧面板：采用1.0mm宝钢优质冷轧钢板，正面凹凸，两旁大圆角的整体设计，视觉如同木质一般厚实典雅。</w:t>
            </w:r>
          </w:p>
          <w:p w14:paraId="21C06A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5、门面：门板、门框采用1.0mm宝钢优质冷轧钢板，四次折弯成形，背面中间点焊加强筋，门面把锁一体式优质闪电锁具（宁波望通锁业有限公司生产），整体美观；面门上下两层双开。</w:t>
            </w:r>
          </w:p>
          <w:p w14:paraId="37A0D2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6、搁板：采用1.0mm宝钢优质冷轧钢板，每层两块搁板，搁板边缘3次折弯，一次成型；搁板折弯厚度为22mm。单面搁板上均布载重不少于50Kg，双面均布负载不少于100Kg，最大挠度为3mm，24h 卸载后，不得有裂纹及永久变形。</w:t>
            </w:r>
          </w:p>
          <w:p w14:paraId="362B3F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挂板：采用1.2mm宝钢优质优质冷轧钢板，两端挂钩采用模具冲裁打弯而成，中间采用腰形拉伸翻边模成形两个台阶加强孔，下端直角折弯，并冲有四个凸槽，使搁板嵌置于弯边凸肩上，组装后平整、牢固、无噪声，层间距按需要沿立柱调节孔可自由调整。</w:t>
            </w:r>
          </w:p>
          <w:p w14:paraId="32460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8、顶板：采用1.0mm宝钢优质优质冷轧钢板，通过M6螺栓紧固于立柱上端既能加强架体的整体刚性又能起到防尘、防水的作用，为此应加强顶板的钢性，经双面二次折弯，四角对焊，使其成框架结构。</w:t>
            </w:r>
          </w:p>
        </w:tc>
        <w:tc>
          <w:tcPr>
            <w:tcW w:w="522" w:type="pct"/>
            <w:noWrap w:val="0"/>
            <w:vAlign w:val="center"/>
          </w:tcPr>
          <w:p w14:paraId="598445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2E2529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2D8C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22" w:type="pct"/>
            <w:noWrap w:val="0"/>
            <w:vAlign w:val="center"/>
          </w:tcPr>
          <w:p w14:paraId="7DA06F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23" w:type="pct"/>
            <w:noWrap w:val="0"/>
            <w:vAlign w:val="center"/>
          </w:tcPr>
          <w:p w14:paraId="35173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3100×3750×2400</w:t>
            </w:r>
          </w:p>
        </w:tc>
        <w:tc>
          <w:tcPr>
            <w:tcW w:w="897" w:type="pct"/>
            <w:noWrap/>
            <w:vAlign w:val="center"/>
          </w:tcPr>
          <w:p w14:paraId="13CEB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28575</wp:posOffset>
                  </wp:positionH>
                  <wp:positionV relativeFrom="paragraph">
                    <wp:posOffset>77470</wp:posOffset>
                  </wp:positionV>
                  <wp:extent cx="911225" cy="690880"/>
                  <wp:effectExtent l="0" t="0" r="3175" b="13970"/>
                  <wp:wrapNone/>
                  <wp:docPr id="2" name="图片_7_SpCnt_2"/>
                  <wp:cNvGraphicFramePr/>
                  <a:graphic xmlns:a="http://schemas.openxmlformats.org/drawingml/2006/main">
                    <a:graphicData uri="http://schemas.openxmlformats.org/drawingml/2006/picture">
                      <pic:pic xmlns:pic="http://schemas.openxmlformats.org/drawingml/2006/picture">
                        <pic:nvPicPr>
                          <pic:cNvPr id="2" name="图片_7_SpCnt_2"/>
                          <pic:cNvPicPr/>
                        </pic:nvPicPr>
                        <pic:blipFill>
                          <a:blip r:embed="rId15"/>
                          <a:stretch>
                            <a:fillRect/>
                          </a:stretch>
                        </pic:blipFill>
                        <pic:spPr>
                          <a:xfrm>
                            <a:off x="0" y="0"/>
                            <a:ext cx="911225" cy="690880"/>
                          </a:xfrm>
                          <a:prstGeom prst="rect">
                            <a:avLst/>
                          </a:prstGeom>
                          <a:noFill/>
                          <a:ln>
                            <a:noFill/>
                          </a:ln>
                        </pic:spPr>
                      </pic:pic>
                    </a:graphicData>
                  </a:graphic>
                </wp:anchor>
              </w:drawing>
            </w:r>
          </w:p>
        </w:tc>
        <w:tc>
          <w:tcPr>
            <w:tcW w:w="310" w:type="pct"/>
            <w:noWrap w:val="0"/>
            <w:vAlign w:val="center"/>
          </w:tcPr>
          <w:p w14:paraId="44A45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6" w:type="pct"/>
            <w:noWrap w:val="0"/>
            <w:vAlign w:val="center"/>
          </w:tcPr>
          <w:p w14:paraId="4B2C6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vMerge w:val="continue"/>
            <w:noWrap w:val="0"/>
            <w:vAlign w:val="center"/>
          </w:tcPr>
          <w:p w14:paraId="285AD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2" w:type="pct"/>
            <w:noWrap w:val="0"/>
            <w:vAlign w:val="center"/>
          </w:tcPr>
          <w:p w14:paraId="0EE9C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5605D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58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52BBD0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23" w:type="pct"/>
            <w:noWrap w:val="0"/>
            <w:vAlign w:val="center"/>
          </w:tcPr>
          <w:p w14:paraId="32C54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工程密集架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7440×3750×2400</w:t>
            </w:r>
          </w:p>
        </w:tc>
        <w:tc>
          <w:tcPr>
            <w:tcW w:w="897" w:type="pct"/>
            <w:noWrap/>
            <w:vAlign w:val="center"/>
          </w:tcPr>
          <w:p w14:paraId="7263B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-28575</wp:posOffset>
                  </wp:positionH>
                  <wp:positionV relativeFrom="paragraph">
                    <wp:posOffset>911225</wp:posOffset>
                  </wp:positionV>
                  <wp:extent cx="939800" cy="701040"/>
                  <wp:effectExtent l="0" t="0" r="12700" b="3810"/>
                  <wp:wrapNone/>
                  <wp:docPr id="7" name="图片_7_SpCnt_3"/>
                  <wp:cNvGraphicFramePr/>
                  <a:graphic xmlns:a="http://schemas.openxmlformats.org/drawingml/2006/main">
                    <a:graphicData uri="http://schemas.openxmlformats.org/drawingml/2006/picture">
                      <pic:pic xmlns:pic="http://schemas.openxmlformats.org/drawingml/2006/picture">
                        <pic:nvPicPr>
                          <pic:cNvPr id="7" name="图片_7_SpCnt_3"/>
                          <pic:cNvPicPr/>
                        </pic:nvPicPr>
                        <pic:blipFill>
                          <a:blip r:embed="rId15"/>
                          <a:stretch>
                            <a:fillRect/>
                          </a:stretch>
                        </pic:blipFill>
                        <pic:spPr>
                          <a:xfrm>
                            <a:off x="0" y="0"/>
                            <a:ext cx="939800" cy="701040"/>
                          </a:xfrm>
                          <a:prstGeom prst="rect">
                            <a:avLst/>
                          </a:prstGeom>
                          <a:noFill/>
                          <a:ln>
                            <a:noFill/>
                          </a:ln>
                        </pic:spPr>
                      </pic:pic>
                    </a:graphicData>
                  </a:graphic>
                </wp:anchor>
              </w:drawing>
            </w:r>
          </w:p>
        </w:tc>
        <w:tc>
          <w:tcPr>
            <w:tcW w:w="310" w:type="pct"/>
            <w:noWrap w:val="0"/>
            <w:vAlign w:val="center"/>
          </w:tcPr>
          <w:p w14:paraId="02D36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6" w:type="pct"/>
            <w:noWrap w:val="0"/>
            <w:vAlign w:val="center"/>
          </w:tcPr>
          <w:p w14:paraId="31593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vMerge w:val="continue"/>
            <w:noWrap w:val="0"/>
            <w:vAlign w:val="center"/>
          </w:tcPr>
          <w:p w14:paraId="72BD8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2" w:type="pct"/>
            <w:noWrap w:val="0"/>
            <w:vAlign w:val="center"/>
          </w:tcPr>
          <w:p w14:paraId="7F677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3C767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ED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08DB1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723" w:type="pct"/>
            <w:noWrap w:val="0"/>
            <w:vAlign w:val="center"/>
          </w:tcPr>
          <w:p w14:paraId="71741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管线夜间值班人员被服柜4800×600×2400</w:t>
            </w:r>
          </w:p>
        </w:tc>
        <w:tc>
          <w:tcPr>
            <w:tcW w:w="897" w:type="pct"/>
            <w:noWrap/>
            <w:vAlign w:val="center"/>
          </w:tcPr>
          <w:p w14:paraId="13233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233045</wp:posOffset>
                  </wp:positionH>
                  <wp:positionV relativeFrom="paragraph">
                    <wp:posOffset>64770</wp:posOffset>
                  </wp:positionV>
                  <wp:extent cx="485140" cy="638175"/>
                  <wp:effectExtent l="0" t="0" r="10160" b="9525"/>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16"/>
                          <a:stretch>
                            <a:fillRect/>
                          </a:stretch>
                        </pic:blipFill>
                        <pic:spPr>
                          <a:xfrm>
                            <a:off x="0" y="0"/>
                            <a:ext cx="485140" cy="638175"/>
                          </a:xfrm>
                          <a:prstGeom prst="rect">
                            <a:avLst/>
                          </a:prstGeom>
                          <a:noFill/>
                          <a:ln>
                            <a:noFill/>
                          </a:ln>
                        </pic:spPr>
                      </pic:pic>
                    </a:graphicData>
                  </a:graphic>
                </wp:anchor>
              </w:drawing>
            </w:r>
          </w:p>
        </w:tc>
        <w:tc>
          <w:tcPr>
            <w:tcW w:w="310" w:type="pct"/>
            <w:noWrap w:val="0"/>
            <w:vAlign w:val="center"/>
          </w:tcPr>
          <w:p w14:paraId="42210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96" w:type="pct"/>
            <w:noWrap w:val="0"/>
            <w:vAlign w:val="center"/>
          </w:tcPr>
          <w:p w14:paraId="4F744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4" w:type="pct"/>
            <w:vMerge w:val="restart"/>
            <w:noWrap w:val="0"/>
            <w:vAlign w:val="center"/>
          </w:tcPr>
          <w:p w14:paraId="3BDC5F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054BC8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56A0A6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6024A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0C8473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4EB81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7EC3EF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23814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265D31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34D3A2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05A0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6C87B1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723" w:type="pct"/>
            <w:noWrap w:val="0"/>
            <w:vAlign w:val="center"/>
          </w:tcPr>
          <w:p w14:paraId="55262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800×400×800</w:t>
            </w:r>
          </w:p>
        </w:tc>
        <w:tc>
          <w:tcPr>
            <w:tcW w:w="897" w:type="pct"/>
            <w:noWrap/>
            <w:vAlign w:val="center"/>
          </w:tcPr>
          <w:p w14:paraId="11118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1905</wp:posOffset>
                  </wp:positionH>
                  <wp:positionV relativeFrom="paragraph">
                    <wp:posOffset>1191260</wp:posOffset>
                  </wp:positionV>
                  <wp:extent cx="945515" cy="1050290"/>
                  <wp:effectExtent l="0" t="0" r="6985" b="16510"/>
                  <wp:wrapNone/>
                  <wp:docPr id="8" name="图片_28"/>
                  <wp:cNvGraphicFramePr/>
                  <a:graphic xmlns:a="http://schemas.openxmlformats.org/drawingml/2006/main">
                    <a:graphicData uri="http://schemas.openxmlformats.org/drawingml/2006/picture">
                      <pic:pic xmlns:pic="http://schemas.openxmlformats.org/drawingml/2006/picture">
                        <pic:nvPicPr>
                          <pic:cNvPr id="8" name="图片_28"/>
                          <pic:cNvPicPr/>
                        </pic:nvPicPr>
                        <pic:blipFill>
                          <a:blip r:embed="rId17"/>
                          <a:stretch>
                            <a:fillRect/>
                          </a:stretch>
                        </pic:blipFill>
                        <pic:spPr>
                          <a:xfrm>
                            <a:off x="0" y="0"/>
                            <a:ext cx="945515" cy="1050290"/>
                          </a:xfrm>
                          <a:prstGeom prst="rect">
                            <a:avLst/>
                          </a:prstGeom>
                          <a:noFill/>
                          <a:ln>
                            <a:noFill/>
                          </a:ln>
                        </pic:spPr>
                      </pic:pic>
                    </a:graphicData>
                  </a:graphic>
                </wp:anchor>
              </w:drawing>
            </w:r>
          </w:p>
        </w:tc>
        <w:tc>
          <w:tcPr>
            <w:tcW w:w="310" w:type="pct"/>
            <w:noWrap w:val="0"/>
            <w:vAlign w:val="center"/>
          </w:tcPr>
          <w:p w14:paraId="16344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0A7D6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64" w:type="pct"/>
            <w:vMerge w:val="continue"/>
            <w:noWrap w:val="0"/>
            <w:vAlign w:val="center"/>
          </w:tcPr>
          <w:p w14:paraId="49B10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2" w:type="pct"/>
            <w:noWrap w:val="0"/>
            <w:vAlign w:val="center"/>
          </w:tcPr>
          <w:p w14:paraId="7AF79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0EB79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4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51B37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5287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8277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AF96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2117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5C1D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B36B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26EF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FFD1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AAA7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5DDDB7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723" w:type="pct"/>
            <w:noWrap w:val="0"/>
            <w:vAlign w:val="center"/>
          </w:tcPr>
          <w:p w14:paraId="0AC88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3BFA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4CD5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09C5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038C5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2B06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1A492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28488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622B0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4BE5B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茶水柜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800×400×800</w:t>
            </w:r>
          </w:p>
        </w:tc>
        <w:tc>
          <w:tcPr>
            <w:tcW w:w="897" w:type="pct"/>
            <w:noWrap/>
            <w:vAlign w:val="center"/>
          </w:tcPr>
          <w:p w14:paraId="4D6EB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11430</wp:posOffset>
                  </wp:positionH>
                  <wp:positionV relativeFrom="paragraph">
                    <wp:posOffset>294640</wp:posOffset>
                  </wp:positionV>
                  <wp:extent cx="922655" cy="1152525"/>
                  <wp:effectExtent l="0" t="0" r="10795" b="9525"/>
                  <wp:wrapNone/>
                  <wp:docPr id="1" name="图片_29"/>
                  <wp:cNvGraphicFramePr/>
                  <a:graphic xmlns:a="http://schemas.openxmlformats.org/drawingml/2006/main">
                    <a:graphicData uri="http://schemas.openxmlformats.org/drawingml/2006/picture">
                      <pic:pic xmlns:pic="http://schemas.openxmlformats.org/drawingml/2006/picture">
                        <pic:nvPicPr>
                          <pic:cNvPr id="1" name="图片_29"/>
                          <pic:cNvPicPr/>
                        </pic:nvPicPr>
                        <pic:blipFill>
                          <a:blip r:embed="rId18"/>
                          <a:stretch>
                            <a:fillRect/>
                          </a:stretch>
                        </pic:blipFill>
                        <pic:spPr>
                          <a:xfrm>
                            <a:off x="0" y="0"/>
                            <a:ext cx="922655" cy="1152525"/>
                          </a:xfrm>
                          <a:prstGeom prst="rect">
                            <a:avLst/>
                          </a:prstGeom>
                          <a:noFill/>
                          <a:ln>
                            <a:noFill/>
                          </a:ln>
                        </pic:spPr>
                      </pic:pic>
                    </a:graphicData>
                  </a:graphic>
                </wp:anchor>
              </w:drawing>
            </w:r>
          </w:p>
        </w:tc>
        <w:tc>
          <w:tcPr>
            <w:tcW w:w="310" w:type="pct"/>
            <w:noWrap w:val="0"/>
            <w:vAlign w:val="center"/>
          </w:tcPr>
          <w:p w14:paraId="342FB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96" w:type="pct"/>
            <w:noWrap w:val="0"/>
            <w:vAlign w:val="center"/>
          </w:tcPr>
          <w:p w14:paraId="12622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4" w:type="pct"/>
            <w:noWrap w:val="0"/>
            <w:vAlign w:val="center"/>
          </w:tcPr>
          <w:p w14:paraId="45766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基材:采用Enf级实木颗粒板基材标准，符合据 GB/T 4897-2015《刨花板》、GB/T 39600-2021《人造板及其制品甲醛释放量分级》、GB/T 35601-2017《绿色产品评价 人造板和木质地板》、HJ 571-2010 《环境标志产品技术要求人造板及其制品》和 GB 18584-2001《室内装饰装修材料 木家具中有害物质限量》标准；平整度≤3mm；无断痕、透裂，无边角残损，无压痕；板材含水率小于等于5.4%；甲醛释放量≤0.025mg/m³，达到ENF级；苯、甲苯未检出；二甲苯≤16μg/m³；总挥发性有机化合物≤88μg/m³；</w:t>
            </w:r>
          </w:p>
          <w:p w14:paraId="65928C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须提供2022年1月1日以来具有CMA、ilac-MRA、CNAS 标识的权威质量检测部门出具的实木颗粒板抽样检测报告扫描件，并加盖投标人公章。</w:t>
            </w:r>
          </w:p>
          <w:p w14:paraId="105A40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封边:采用优质PVC封边，符合QB/T 4463-2013《家具用封边条技术要求》和 GB 28481-2012《塑料家具中有害物质</w:t>
            </w:r>
          </w:p>
          <w:p w14:paraId="535F17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限量》标准，表面应光滑，花纹应清晰、均匀，无漏印；表面应无皱纹、裂纹、折痕、暗条痕、染色线、刀线、油渍、污点、黑斑、粘胶和杂质，无明显的气泡、针孔、划痕、波纹等瑕疵；耐干热性、耐磨性、耐老化性、耐冷热循环性符合要求；耐开裂性1级；耐光色牢度大于4级；有害物质限量-塑料封边条-甲醛释放量未检出；有害物质限量-塑料封边条（铅、汞、铬、镉、砷、钡、锑、硒未检出；有害物质限量-塑料封边条-邻苯二甲酸酯（DBP、BBP、DEHP、DNOP、DINP 和IDP）的总量未检出；多溴联苯（PBB）未检出；多溴联苯醚未检出。              </w:t>
            </w:r>
          </w:p>
          <w:p w14:paraId="27FD2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贴面：板材采用“夏特”饰面纸，耐磨，不易变色，表面光亮平整，有光泽，整体效果好</w:t>
            </w:r>
          </w:p>
          <w:p w14:paraId="408101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钢脚：凸型管，50*25*1.5方管焊接脚架，焊点平整，边角平直无毛刺</w:t>
            </w:r>
          </w:p>
          <w:p w14:paraId="347B29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横杆：M6拉伸螺孔，孔距误差±0.3mm，边角平直无毛刺</w:t>
            </w:r>
          </w:p>
          <w:p w14:paraId="519B49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单面翻盖线盒（带阻尼）:开合次数5000次左右</w:t>
            </w:r>
          </w:p>
        </w:tc>
        <w:tc>
          <w:tcPr>
            <w:tcW w:w="522" w:type="pct"/>
            <w:noWrap w:val="0"/>
            <w:vAlign w:val="center"/>
          </w:tcPr>
          <w:p w14:paraId="53BEC8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534486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r w14:paraId="780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noWrap w:val="0"/>
            <w:vAlign w:val="center"/>
          </w:tcPr>
          <w:p w14:paraId="74161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723" w:type="pct"/>
            <w:noWrap w:val="0"/>
            <w:vAlign w:val="center"/>
          </w:tcPr>
          <w:p w14:paraId="68FDB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调度室控制台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1000×900×760／960</w:t>
            </w:r>
          </w:p>
        </w:tc>
        <w:tc>
          <w:tcPr>
            <w:tcW w:w="897" w:type="pct"/>
            <w:noWrap/>
            <w:vAlign w:val="center"/>
          </w:tcPr>
          <w:p w14:paraId="4520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9525</wp:posOffset>
                  </wp:positionH>
                  <wp:positionV relativeFrom="paragraph">
                    <wp:posOffset>1821815</wp:posOffset>
                  </wp:positionV>
                  <wp:extent cx="970280" cy="1008380"/>
                  <wp:effectExtent l="0" t="0" r="1270" b="127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9"/>
                          <a:stretch>
                            <a:fillRect/>
                          </a:stretch>
                        </pic:blipFill>
                        <pic:spPr>
                          <a:xfrm>
                            <a:off x="0" y="0"/>
                            <a:ext cx="970280" cy="1008380"/>
                          </a:xfrm>
                          <a:prstGeom prst="rect">
                            <a:avLst/>
                          </a:prstGeom>
                          <a:noFill/>
                          <a:ln>
                            <a:noFill/>
                          </a:ln>
                        </pic:spPr>
                      </pic:pic>
                    </a:graphicData>
                  </a:graphic>
                </wp:anchor>
              </w:drawing>
            </w:r>
          </w:p>
        </w:tc>
        <w:tc>
          <w:tcPr>
            <w:tcW w:w="310" w:type="pct"/>
            <w:noWrap w:val="0"/>
            <w:vAlign w:val="center"/>
          </w:tcPr>
          <w:p w14:paraId="28E07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296" w:type="pct"/>
            <w:noWrap w:val="0"/>
            <w:vAlign w:val="center"/>
          </w:tcPr>
          <w:p w14:paraId="01B7A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4" w:type="pct"/>
            <w:noWrap w:val="0"/>
            <w:vAlign w:val="center"/>
          </w:tcPr>
          <w:p w14:paraId="677A35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台采用钢木结合拼接结构，采用环保E1级高密度中纤板，硬度高、光滑平整，无味、环保符合国家安全标准，优质绿色环保产品，甲醛符合国家标准，含量在≤1.0mg/L,密度为760g/m3，在经过五底五面反复打磨批灰做油漆，经过30度低温自然干燥，均匀烘干，使表面整光滑，光照可鉴，外观优美时尚极富科技感。高端大气，优雅时尚，油漆色板、产品所有五金经过防水、防烫、防污、防蛀、防碱处理.台面整体厚度不低于25mm；控制台内部主框架为1.0mm-1.2mm冷轧钢板，材料强度不低于10号冷轧钢，经裁剪，冲压，折弯，成型，受外力冲击不易变形，以保证框架结构的稳定，具有优越的承重性，前后门板采用1.0厚的冷轧钢板，金属表面采用不过兴业顶级喷涂涂料，正常光照下可见明显钻石光泽，提升控制台表面质感，作相应的防腐，防锈工艺处理而材质均匀，性能稳定、为了保证散热通风，方便操作与整体环境美观统一。前后门板需采用厚度1.0mm的冷轧钢板制作，门板采用钣金冲孔并且通风率需达到50%以上。门铰链采用高档弹性阻尼无声缓冲铰链，安装方式为快拆式。</w:t>
            </w:r>
          </w:p>
        </w:tc>
        <w:tc>
          <w:tcPr>
            <w:tcW w:w="522" w:type="pct"/>
            <w:noWrap w:val="0"/>
            <w:vAlign w:val="center"/>
          </w:tcPr>
          <w:p w14:paraId="19A59C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562" w:type="pct"/>
            <w:noWrap w:val="0"/>
            <w:vAlign w:val="center"/>
          </w:tcPr>
          <w:p w14:paraId="0E1EE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65F945F9">
      <w:pPr>
        <w:keepNext w:val="0"/>
        <w:keepLines w:val="0"/>
        <w:widowControl w:val="0"/>
        <w:suppressLineNumbers w:val="0"/>
        <w:autoSpaceDE w:val="0"/>
        <w:autoSpaceDN/>
        <w:spacing w:before="0" w:beforeAutospacing="0" w:after="0" w:afterAutospacing="0" w:line="5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注：</w:t>
      </w:r>
    </w:p>
    <w:p w14:paraId="60F38B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1.项目中的参考品牌（科尔米勒、汉威思、龙都）</w:t>
      </w:r>
      <w:r>
        <w:rPr>
          <w:rFonts w:hint="eastAsia" w:asciiTheme="minorEastAsia" w:hAnsiTheme="minorEastAsia" w:eastAsiaTheme="minorEastAsia" w:cstheme="minorEastAsia"/>
          <w:color w:val="FF0000"/>
          <w:kern w:val="2"/>
          <w:sz w:val="24"/>
          <w:szCs w:val="24"/>
          <w:highlight w:val="none"/>
          <w:lang w:val="en-US" w:eastAsia="zh-CN" w:bidi="ar"/>
        </w:rPr>
        <w:t>投标时请注明品牌</w:t>
      </w:r>
      <w:r>
        <w:rPr>
          <w:rFonts w:hint="eastAsia" w:asciiTheme="minorEastAsia" w:hAnsiTheme="minorEastAsia" w:eastAsiaTheme="minorEastAsia" w:cstheme="minorEastAsia"/>
          <w:kern w:val="2"/>
          <w:sz w:val="24"/>
          <w:szCs w:val="24"/>
          <w:lang w:val="en-US" w:eastAsia="zh-CN" w:bidi="ar"/>
        </w:rPr>
        <w:t>，只是参考所采购产品（设备）的档次。</w:t>
      </w:r>
    </w:p>
    <w:p w14:paraId="0895B7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2.上述采购要求为最低要求，不得负偏离，否则视为无效报价。</w:t>
      </w:r>
    </w:p>
    <w:p w14:paraId="5BF092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80"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2"/>
          <w:sz w:val="24"/>
          <w:szCs w:val="24"/>
          <w:lang w:val="en-US" w:eastAsia="zh-CN" w:bidi="ar"/>
        </w:rPr>
        <w:t>3.中标人在签订合同前需要提供投标响应品牌的厂家针对本项目的授权函。中标通知书发出后三日内未提供的，视为放弃中标资格。</w:t>
      </w:r>
    </w:p>
    <w:p w14:paraId="366C7908">
      <w:pPr>
        <w:pStyle w:val="6"/>
      </w:pPr>
    </w:p>
    <w:p w14:paraId="6233B4C0">
      <w:pPr>
        <w:widowControl/>
        <w:rPr>
          <w:rFonts w:ascii="宋体" w:hAnsi="宋体" w:cs="宋体"/>
          <w:kern w:val="0"/>
          <w:sz w:val="28"/>
          <w:szCs w:val="28"/>
        </w:rPr>
      </w:pPr>
      <w:r>
        <w:rPr>
          <w:rFonts w:hint="eastAsia" w:ascii="宋体" w:hAnsi="宋体" w:cs="宋体"/>
          <w:color w:val="333333"/>
          <w:kern w:val="0"/>
          <w:sz w:val="28"/>
          <w:szCs w:val="28"/>
          <w:u w:val="single"/>
          <w:shd w:val="clear" w:color="auto" w:fill="FFFFFF"/>
        </w:rPr>
        <w:t>本报价表须机打并加盖报价单位公章，手填无效。</w:t>
      </w:r>
    </w:p>
    <w:p w14:paraId="6AE1F087">
      <w:pPr>
        <w:widowControl/>
        <w:rPr>
          <w:rFonts w:ascii="宋体" w:hAnsi="宋体" w:cs="宋体"/>
          <w:color w:val="333333"/>
          <w:kern w:val="0"/>
          <w:sz w:val="28"/>
          <w:szCs w:val="28"/>
          <w:u w:val="single"/>
          <w:shd w:val="clear" w:color="auto" w:fill="FFFFFF"/>
        </w:rPr>
      </w:pPr>
      <w:r>
        <w:rPr>
          <w:rFonts w:hint="eastAsia" w:ascii="宋体" w:hAnsi="宋体" w:cs="宋体"/>
          <w:sz w:val="28"/>
          <w:szCs w:val="28"/>
        </w:rPr>
        <w:t>投标人(盖公章)：</w:t>
      </w:r>
      <w:r>
        <w:rPr>
          <w:rFonts w:hint="eastAsia" w:ascii="宋体" w:hAnsi="宋体" w:cs="宋体"/>
          <w:color w:val="333333"/>
          <w:kern w:val="0"/>
          <w:sz w:val="28"/>
          <w:szCs w:val="28"/>
          <w:u w:val="single"/>
          <w:shd w:val="clear" w:color="auto" w:fill="FFFFFF"/>
        </w:rPr>
        <w:t>       </w:t>
      </w:r>
    </w:p>
    <w:p w14:paraId="414D8A43">
      <w:pPr>
        <w:widowControl/>
        <w:rPr>
          <w:rFonts w:ascii="宋体" w:hAnsi="宋体" w:cs="宋体"/>
          <w:color w:val="333333"/>
          <w:kern w:val="0"/>
          <w:sz w:val="28"/>
          <w:szCs w:val="28"/>
          <w:u w:val="single"/>
          <w:shd w:val="clear" w:color="auto" w:fill="FFFFFF"/>
        </w:rPr>
      </w:pPr>
      <w:r>
        <w:rPr>
          <w:rFonts w:hint="eastAsia" w:ascii="宋体" w:hAnsi="宋体" w:cs="宋体"/>
          <w:sz w:val="28"/>
          <w:szCs w:val="28"/>
        </w:rPr>
        <w:t>法定代表人或代理人（签字或盖章）</w:t>
      </w:r>
      <w:r>
        <w:rPr>
          <w:rFonts w:hint="eastAsia" w:ascii="宋体" w:hAnsi="宋体" w:cs="宋体"/>
          <w:color w:val="333333"/>
          <w:kern w:val="0"/>
          <w:sz w:val="28"/>
          <w:szCs w:val="28"/>
          <w:shd w:val="clear" w:color="auto" w:fill="FFFFFF"/>
        </w:rPr>
        <w:t>：</w:t>
      </w:r>
      <w:r>
        <w:rPr>
          <w:rFonts w:hint="eastAsia" w:ascii="宋体" w:hAnsi="宋体" w:cs="宋体"/>
          <w:color w:val="333333"/>
          <w:kern w:val="0"/>
          <w:sz w:val="28"/>
          <w:szCs w:val="28"/>
          <w:u w:val="single"/>
          <w:shd w:val="clear" w:color="auto" w:fill="FFFFFF"/>
        </w:rPr>
        <w:t>       </w:t>
      </w:r>
    </w:p>
    <w:p w14:paraId="2B62EDED">
      <w:pPr>
        <w:widowControl/>
        <w:rPr>
          <w:rFonts w:ascii="宋体" w:hAnsi="宋体" w:cs="宋体"/>
          <w:color w:val="333333"/>
          <w:kern w:val="0"/>
          <w:sz w:val="28"/>
          <w:szCs w:val="28"/>
          <w:u w:val="single"/>
          <w:shd w:val="clear" w:color="auto" w:fill="FFFFFF"/>
        </w:rPr>
      </w:pPr>
      <w:r>
        <w:rPr>
          <w:rFonts w:hint="eastAsia" w:ascii="宋体" w:hAnsi="宋体" w:cs="宋体"/>
          <w:color w:val="333333"/>
          <w:kern w:val="0"/>
          <w:sz w:val="28"/>
          <w:szCs w:val="28"/>
          <w:shd w:val="clear" w:color="auto" w:fill="FFFFFF"/>
        </w:rPr>
        <w:t>联系电话：</w:t>
      </w:r>
      <w:r>
        <w:rPr>
          <w:rFonts w:hint="eastAsia" w:ascii="宋体" w:hAnsi="宋体" w:cs="宋体"/>
          <w:color w:val="333333"/>
          <w:kern w:val="0"/>
          <w:sz w:val="28"/>
          <w:szCs w:val="28"/>
          <w:u w:val="single"/>
          <w:shd w:val="clear" w:color="auto" w:fill="FFFFFF"/>
        </w:rPr>
        <w:t>                </w:t>
      </w:r>
    </w:p>
    <w:p w14:paraId="173A8C81">
      <w:pPr>
        <w:widowControl/>
        <w:rPr>
          <w:rFonts w:ascii="宋体" w:hAnsi="宋体" w:cs="宋体"/>
          <w:color w:val="333333"/>
          <w:kern w:val="0"/>
          <w:sz w:val="28"/>
          <w:szCs w:val="28"/>
          <w:u w:val="single"/>
          <w:shd w:val="clear" w:color="auto" w:fill="FFFFFF"/>
        </w:rPr>
      </w:pPr>
      <w:r>
        <w:rPr>
          <w:rFonts w:hint="eastAsia" w:ascii="宋体" w:hAnsi="宋体" w:cs="宋体"/>
          <w:color w:val="333333"/>
          <w:kern w:val="0"/>
          <w:sz w:val="28"/>
          <w:szCs w:val="28"/>
          <w:shd w:val="clear" w:color="auto" w:fill="FFFFFF"/>
        </w:rPr>
        <w:t>时  间：</w:t>
      </w:r>
      <w:r>
        <w:rPr>
          <w:rFonts w:hint="eastAsia" w:ascii="宋体" w:hAnsi="宋体" w:cs="宋体"/>
          <w:color w:val="333333"/>
          <w:kern w:val="0"/>
          <w:sz w:val="28"/>
          <w:szCs w:val="28"/>
          <w:u w:val="single"/>
          <w:shd w:val="clear" w:color="auto" w:fill="FFFFFF"/>
        </w:rPr>
        <w:t xml:space="preserve">                 </w:t>
      </w:r>
    </w:p>
    <w:p w14:paraId="7E95A403">
      <w:pPr>
        <w:pStyle w:val="6"/>
      </w:pPr>
    </w:p>
    <w:p w14:paraId="528040EF">
      <w:pPr>
        <w:spacing w:line="560" w:lineRule="exact"/>
        <w:rPr>
          <w:rFonts w:hint="eastAsia" w:ascii="宋体" w:hAnsi="宋体" w:cs="仿宋"/>
          <w:b/>
          <w:bCs/>
          <w:sz w:val="28"/>
          <w:szCs w:val="28"/>
        </w:rPr>
      </w:pPr>
    </w:p>
    <w:p w14:paraId="55DB4837">
      <w:pPr>
        <w:spacing w:line="560" w:lineRule="exact"/>
        <w:rPr>
          <w:rFonts w:hint="eastAsia" w:ascii="宋体" w:hAnsi="宋体" w:cs="仿宋"/>
          <w:b/>
          <w:bCs/>
          <w:sz w:val="28"/>
          <w:szCs w:val="28"/>
        </w:rPr>
      </w:pPr>
    </w:p>
    <w:p w14:paraId="398A3960">
      <w:pPr>
        <w:spacing w:line="560" w:lineRule="exact"/>
        <w:rPr>
          <w:rFonts w:hint="eastAsia" w:ascii="宋体" w:hAnsi="宋体" w:cs="仿宋"/>
          <w:b/>
          <w:bCs/>
          <w:sz w:val="28"/>
          <w:szCs w:val="28"/>
        </w:rPr>
      </w:pPr>
    </w:p>
    <w:p w14:paraId="66487AE9">
      <w:pPr>
        <w:spacing w:line="560" w:lineRule="exact"/>
        <w:rPr>
          <w:rFonts w:hint="eastAsia" w:ascii="宋体" w:hAnsi="宋体" w:cs="仿宋"/>
          <w:b/>
          <w:bCs/>
          <w:sz w:val="28"/>
          <w:szCs w:val="28"/>
        </w:rPr>
      </w:pPr>
    </w:p>
    <w:p w14:paraId="01D2B4AC">
      <w:pPr>
        <w:spacing w:line="560" w:lineRule="exact"/>
        <w:rPr>
          <w:rFonts w:hint="eastAsia" w:ascii="宋体" w:hAnsi="宋体" w:cs="仿宋"/>
          <w:b/>
          <w:bCs/>
          <w:sz w:val="28"/>
          <w:szCs w:val="28"/>
        </w:rPr>
      </w:pPr>
    </w:p>
    <w:p w14:paraId="1A02760D">
      <w:pPr>
        <w:spacing w:line="560" w:lineRule="exact"/>
        <w:rPr>
          <w:rFonts w:hint="eastAsia" w:ascii="宋体" w:hAnsi="宋体" w:cs="仿宋"/>
          <w:b/>
          <w:bCs/>
          <w:sz w:val="28"/>
          <w:szCs w:val="28"/>
        </w:rPr>
      </w:pPr>
    </w:p>
    <w:p w14:paraId="5E0572BE">
      <w:pPr>
        <w:spacing w:line="560" w:lineRule="exact"/>
        <w:rPr>
          <w:rFonts w:ascii="宋体" w:hAnsi="宋体" w:cs="仿宋"/>
          <w:b/>
          <w:bCs/>
          <w:sz w:val="28"/>
          <w:szCs w:val="28"/>
        </w:rPr>
      </w:pPr>
      <w:r>
        <w:rPr>
          <w:rFonts w:hint="eastAsia" w:ascii="宋体" w:hAnsi="宋体" w:cs="仿宋"/>
          <w:b/>
          <w:bCs/>
          <w:sz w:val="28"/>
          <w:szCs w:val="28"/>
        </w:rPr>
        <w:t>附件6：</w:t>
      </w:r>
    </w:p>
    <w:p w14:paraId="3847E382">
      <w:pPr>
        <w:spacing w:line="500" w:lineRule="exact"/>
        <w:jc w:val="center"/>
        <w:rPr>
          <w:rFonts w:cs="宋体" w:asciiTheme="minorEastAsia" w:hAnsiTheme="minorEastAsia" w:eastAsiaTheme="minorEastAsia"/>
          <w:sz w:val="32"/>
          <w:szCs w:val="32"/>
        </w:rPr>
      </w:pPr>
      <w:r>
        <w:rPr>
          <w:rFonts w:hint="eastAsia" w:cs="宋体" w:asciiTheme="minorEastAsia" w:hAnsiTheme="minorEastAsia" w:eastAsiaTheme="minorEastAsia"/>
          <w:b/>
          <w:sz w:val="32"/>
          <w:szCs w:val="32"/>
        </w:rPr>
        <w:t>质保承诺书</w:t>
      </w:r>
    </w:p>
    <w:p w14:paraId="3A611F7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启东市自来水厂有限公司：</w:t>
      </w:r>
    </w:p>
    <w:p w14:paraId="32C27AF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（报价单位全称）</w:t>
      </w:r>
      <w:r>
        <w:rPr>
          <w:rFonts w:hint="eastAsia" w:cs="宋体" w:asciiTheme="minorEastAsia" w:hAnsiTheme="minorEastAsia" w:eastAsiaTheme="minorEastAsia"/>
          <w:sz w:val="24"/>
        </w:rPr>
        <w:t>授权</w:t>
      </w:r>
      <w:r>
        <w:rPr>
          <w:rFonts w:hint="eastAsia" w:cs="宋体" w:asciiTheme="minorEastAsia" w:hAnsiTheme="minorEastAsia" w:eastAsiaTheme="minorEastAsia"/>
          <w:sz w:val="24"/>
          <w:u w:val="single"/>
        </w:rPr>
        <w:t>（姓  名）（职  务）</w:t>
      </w:r>
      <w:r>
        <w:rPr>
          <w:rFonts w:hint="eastAsia" w:cs="宋体" w:asciiTheme="minorEastAsia" w:hAnsiTheme="minorEastAsia" w:eastAsiaTheme="minorEastAsia"/>
          <w:sz w:val="24"/>
        </w:rPr>
        <w:t>为全权代表，参加</w:t>
      </w:r>
      <w:r>
        <w:rPr>
          <w:rFonts w:hint="eastAsia" w:cs="宋体" w:asciiTheme="minorEastAsia" w:hAnsiTheme="minorEastAsia" w:eastAsiaTheme="minorEastAsia"/>
          <w:sz w:val="24"/>
          <w:u w:val="single"/>
          <w:lang w:eastAsia="zh-CN"/>
        </w:rPr>
        <w:t>启东市自来水厂有限公司新办公点办公家具采购项目</w:t>
      </w:r>
      <w:r>
        <w:rPr>
          <w:rFonts w:hint="eastAsia" w:cs="宋体" w:asciiTheme="minorEastAsia" w:hAnsiTheme="minorEastAsia" w:eastAsiaTheme="minorEastAsia"/>
          <w:bCs/>
          <w:sz w:val="24"/>
        </w:rPr>
        <w:t>询价采购的有关活</w:t>
      </w:r>
      <w:r>
        <w:rPr>
          <w:rFonts w:hint="eastAsia" w:cs="宋体" w:asciiTheme="minorEastAsia" w:hAnsiTheme="minorEastAsia" w:eastAsiaTheme="minorEastAsia"/>
          <w:sz w:val="24"/>
        </w:rPr>
        <w:t>动，并宣布同意如下：</w:t>
      </w:r>
    </w:p>
    <w:p w14:paraId="19983483">
      <w:pPr>
        <w:numPr>
          <w:ilvl w:val="255"/>
          <w:numId w:val="0"/>
        </w:num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我方承诺所供货物的免费质保期为一年全免费质保（配件+人工）及售后服务。质保期内成交供应商应免费维修，质保期外的维修收费按国家和供应商的相关规定办理。所有设备质保时间为自验收合格之日起计。（如果货物原厂承诺的保修期高于国家规定的保修期，则按原厂承诺的执行）。</w:t>
      </w:r>
    </w:p>
    <w:p w14:paraId="5C95D3CD">
      <w:pPr>
        <w:numPr>
          <w:ilvl w:val="0"/>
          <w:numId w:val="1"/>
        </w:num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在质保期内，同一商品、同一质量问题连续两次维修仍无法正常使用，供应商无条件给予全套更新或退货。</w:t>
      </w:r>
    </w:p>
    <w:p w14:paraId="1C6576EE">
      <w:pPr>
        <w:numPr>
          <w:ilvl w:val="0"/>
          <w:numId w:val="1"/>
        </w:num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在免费质保期内，供应商在接到用户单位电话通知后，必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168700D8">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lang w:val="zh-CN"/>
        </w:rPr>
        <w:t>.与本项目有关的一切往来通讯请寄：</w:t>
      </w:r>
    </w:p>
    <w:p w14:paraId="5CEF3F80">
      <w:pPr>
        <w:spacing w:line="360" w:lineRule="auto"/>
        <w:ind w:firstLine="480" w:firstLineChars="200"/>
        <w:rPr>
          <w:rFonts w:cs="宋体" w:asciiTheme="minorEastAsia" w:hAnsiTheme="minorEastAsia" w:eastAsiaTheme="minorEastAsia"/>
          <w:sz w:val="24"/>
        </w:rPr>
      </w:pPr>
    </w:p>
    <w:p w14:paraId="5ECE6A1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3224DE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电话：　　　　　　　　　　　　　传真：</w:t>
      </w:r>
    </w:p>
    <w:p w14:paraId="310E0EC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报价供应商代表姓名：　　　　　　职务：</w:t>
      </w:r>
    </w:p>
    <w:p w14:paraId="5F28691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报价供应商单位名称（加盖单位公章）：</w:t>
      </w:r>
    </w:p>
    <w:p w14:paraId="172CEA5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00839225">
      <w:pPr>
        <w:ind w:firstLine="560" w:firstLineChars="200"/>
        <w:rPr>
          <w:rFonts w:ascii="宋体" w:hAnsi="宋体" w:cs="宋体"/>
          <w:sz w:val="28"/>
          <w:szCs w:val="28"/>
          <w:u w:val="single"/>
        </w:rPr>
      </w:pPr>
    </w:p>
    <w:p w14:paraId="7CE5E132">
      <w:pPr>
        <w:spacing w:line="560" w:lineRule="exact"/>
        <w:rPr>
          <w:rFonts w:ascii="宋体" w:hAnsi="宋体" w:cs="仿宋"/>
          <w:b/>
          <w:bCs/>
          <w:sz w:val="28"/>
          <w:szCs w:val="28"/>
        </w:rPr>
      </w:pPr>
    </w:p>
    <w:p w14:paraId="793DC02E">
      <w:pPr>
        <w:pStyle w:val="6"/>
      </w:pPr>
    </w:p>
    <w:p w14:paraId="15C75076">
      <w:pPr>
        <w:spacing w:line="560" w:lineRule="exact"/>
        <w:rPr>
          <w:rFonts w:ascii="宋体" w:hAnsi="宋体" w:cs="仿宋"/>
          <w:b/>
          <w:bCs/>
          <w:sz w:val="28"/>
          <w:szCs w:val="28"/>
        </w:rPr>
      </w:pPr>
    </w:p>
    <w:p w14:paraId="1FFB02B8">
      <w:pPr>
        <w:spacing w:line="560" w:lineRule="exact"/>
        <w:rPr>
          <w:rFonts w:ascii="宋体" w:hAnsi="宋体" w:cs="仿宋"/>
          <w:b/>
          <w:bCs/>
          <w:sz w:val="28"/>
          <w:szCs w:val="28"/>
        </w:rPr>
      </w:pPr>
    </w:p>
    <w:p w14:paraId="26FED2CF">
      <w:pPr>
        <w:spacing w:line="560" w:lineRule="exact"/>
        <w:rPr>
          <w:rFonts w:ascii="宋体" w:hAnsi="宋体" w:cs="仿宋"/>
          <w:b/>
          <w:bCs/>
          <w:sz w:val="28"/>
          <w:szCs w:val="28"/>
        </w:rPr>
      </w:pPr>
    </w:p>
    <w:p w14:paraId="7F968028">
      <w:pPr>
        <w:spacing w:line="560" w:lineRule="exact"/>
        <w:rPr>
          <w:rFonts w:ascii="宋体" w:hAnsi="宋体" w:cs="仿宋"/>
          <w:b/>
          <w:bCs/>
          <w:sz w:val="28"/>
          <w:szCs w:val="28"/>
        </w:rPr>
      </w:pPr>
      <w:r>
        <w:rPr>
          <w:rFonts w:hint="eastAsia" w:ascii="宋体" w:hAnsi="宋体" w:cs="仿宋"/>
          <w:b/>
          <w:bCs/>
          <w:sz w:val="28"/>
          <w:szCs w:val="28"/>
        </w:rPr>
        <w:t>附件7：</w:t>
      </w:r>
    </w:p>
    <w:p w14:paraId="266F9653">
      <w:pPr>
        <w:jc w:val="center"/>
        <w:rPr>
          <w:rFonts w:ascii="宋体" w:hAnsi="宋体" w:cs="仿宋"/>
          <w:b/>
          <w:sz w:val="32"/>
          <w:szCs w:val="32"/>
        </w:rPr>
      </w:pPr>
    </w:p>
    <w:p w14:paraId="10365F7F">
      <w:pPr>
        <w:jc w:val="center"/>
        <w:rPr>
          <w:rFonts w:ascii="宋体" w:hAnsi="宋体" w:cs="仿宋"/>
          <w:b/>
          <w:sz w:val="32"/>
          <w:szCs w:val="32"/>
        </w:rPr>
      </w:pPr>
      <w:r>
        <w:rPr>
          <w:rFonts w:hint="eastAsia" w:ascii="宋体" w:hAnsi="宋体" w:cs="仿宋"/>
          <w:b/>
          <w:sz w:val="32"/>
          <w:szCs w:val="32"/>
        </w:rPr>
        <w:t>参加采购活动前3年内在经营活动中没有重大违法记录的</w:t>
      </w:r>
    </w:p>
    <w:p w14:paraId="5CBA15E4">
      <w:pPr>
        <w:jc w:val="center"/>
        <w:rPr>
          <w:rFonts w:ascii="宋体" w:hAnsi="宋体"/>
        </w:rPr>
      </w:pPr>
      <w:r>
        <w:rPr>
          <w:rFonts w:hint="eastAsia" w:ascii="宋体" w:hAnsi="宋体" w:cs="仿宋"/>
          <w:b/>
          <w:sz w:val="32"/>
          <w:szCs w:val="32"/>
        </w:rPr>
        <w:t>书面声明</w:t>
      </w:r>
    </w:p>
    <w:p w14:paraId="3FFBC243">
      <w:pPr>
        <w:ind w:firstLine="560" w:firstLineChars="200"/>
        <w:rPr>
          <w:rFonts w:ascii="宋体" w:hAnsi="宋体" w:cs="仿宋"/>
          <w:bCs/>
          <w:sz w:val="28"/>
          <w:szCs w:val="28"/>
        </w:rPr>
      </w:pPr>
      <w:r>
        <w:rPr>
          <w:rFonts w:hint="eastAsia" w:ascii="宋体" w:hAnsi="宋体"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295063A3">
      <w:pPr>
        <w:ind w:firstLine="560" w:firstLineChars="200"/>
        <w:rPr>
          <w:rFonts w:ascii="宋体" w:hAnsi="宋体" w:cs="仿宋_GB2312"/>
          <w:bCs/>
          <w:sz w:val="28"/>
          <w:szCs w:val="28"/>
        </w:rPr>
      </w:pPr>
      <w:r>
        <w:rPr>
          <w:rFonts w:hint="eastAsia" w:ascii="宋体" w:hAnsi="宋体" w:cs="仿宋"/>
          <w:bCs/>
          <w:sz w:val="28"/>
          <w:szCs w:val="28"/>
        </w:rPr>
        <w:t>在投标截止时间节点，没有被“信用中国”、“中国政府采购网”、“信用江苏”网站列入失信被执行人、重大税收违法案件当事人名单、政府采购严重违法失信行为记录名单。</w:t>
      </w:r>
    </w:p>
    <w:p w14:paraId="06188A45">
      <w:pPr>
        <w:rPr>
          <w:rFonts w:ascii="宋体" w:hAnsi="宋体" w:cs="仿宋_GB2312"/>
          <w:bCs/>
          <w:sz w:val="28"/>
          <w:szCs w:val="28"/>
        </w:rPr>
      </w:pPr>
    </w:p>
    <w:p w14:paraId="488C722C">
      <w:pPr>
        <w:ind w:firstLine="4480" w:firstLineChars="1600"/>
        <w:rPr>
          <w:rFonts w:ascii="宋体" w:hAnsi="宋体" w:cs="仿宋"/>
          <w:bCs/>
          <w:sz w:val="28"/>
          <w:szCs w:val="28"/>
        </w:rPr>
      </w:pPr>
      <w:r>
        <w:rPr>
          <w:rFonts w:hint="eastAsia" w:ascii="宋体" w:hAnsi="宋体" w:cs="仿宋"/>
          <w:bCs/>
          <w:sz w:val="28"/>
          <w:szCs w:val="28"/>
        </w:rPr>
        <w:t>供应商名称（公章）：</w:t>
      </w:r>
    </w:p>
    <w:p w14:paraId="0A185CC8">
      <w:pPr>
        <w:ind w:left="4760" w:hanging="4760" w:hangingChars="1700"/>
        <w:rPr>
          <w:rFonts w:ascii="宋体" w:hAnsi="宋体" w:cs="仿宋"/>
          <w:bCs/>
          <w:sz w:val="28"/>
          <w:szCs w:val="28"/>
        </w:rPr>
      </w:pPr>
      <w:r>
        <w:rPr>
          <w:rFonts w:hint="eastAsia" w:ascii="宋体" w:hAnsi="宋体" w:cs="仿宋"/>
          <w:bCs/>
          <w:sz w:val="28"/>
          <w:szCs w:val="28"/>
        </w:rPr>
        <w:t xml:space="preserve">                                授权代表签字：</w:t>
      </w:r>
    </w:p>
    <w:p w14:paraId="6461F059">
      <w:pPr>
        <w:ind w:left="4749" w:leftChars="2128" w:hanging="280" w:hangingChars="100"/>
        <w:rPr>
          <w:rFonts w:ascii="宋体" w:hAnsi="宋体" w:cs="仿宋"/>
          <w:bCs/>
          <w:sz w:val="28"/>
          <w:szCs w:val="28"/>
        </w:rPr>
      </w:pPr>
      <w:r>
        <w:rPr>
          <w:rFonts w:hint="eastAsia" w:ascii="宋体" w:hAnsi="宋体" w:cs="仿宋"/>
          <w:bCs/>
          <w:sz w:val="28"/>
          <w:szCs w:val="28"/>
        </w:rPr>
        <w:t>日期：年  月  日</w:t>
      </w:r>
    </w:p>
    <w:p w14:paraId="4E6EEE2B">
      <w:pPr>
        <w:pStyle w:val="4"/>
        <w:rPr>
          <w:rFonts w:ascii="宋体" w:hAnsi="宋体" w:cs="仿宋"/>
          <w:bCs/>
          <w:sz w:val="28"/>
          <w:szCs w:val="28"/>
        </w:rPr>
      </w:pPr>
    </w:p>
    <w:p w14:paraId="1B1B1DB6">
      <w:pPr>
        <w:pStyle w:val="4"/>
        <w:rPr>
          <w:rFonts w:ascii="宋体" w:hAnsi="宋体" w:cs="仿宋"/>
          <w:bCs/>
          <w:sz w:val="28"/>
          <w:szCs w:val="28"/>
        </w:rPr>
      </w:pPr>
    </w:p>
    <w:p w14:paraId="187D80B7">
      <w:pPr>
        <w:pStyle w:val="4"/>
        <w:rPr>
          <w:rFonts w:ascii="宋体" w:hAnsi="宋体" w:cs="仿宋"/>
          <w:bCs/>
          <w:sz w:val="28"/>
          <w:szCs w:val="28"/>
        </w:rPr>
      </w:pPr>
    </w:p>
    <w:p w14:paraId="077BDEAA">
      <w:pPr>
        <w:pStyle w:val="4"/>
        <w:rPr>
          <w:rFonts w:ascii="宋体" w:hAnsi="宋体" w:cs="仿宋"/>
          <w:bCs/>
          <w:sz w:val="28"/>
          <w:szCs w:val="28"/>
        </w:rPr>
      </w:pPr>
    </w:p>
    <w:p w14:paraId="53379834">
      <w:pPr>
        <w:pStyle w:val="4"/>
        <w:rPr>
          <w:rFonts w:ascii="宋体" w:hAnsi="宋体" w:cs="仿宋"/>
          <w:bCs/>
          <w:sz w:val="28"/>
          <w:szCs w:val="28"/>
        </w:rPr>
      </w:pPr>
    </w:p>
    <w:p w14:paraId="67E69C0D">
      <w:pPr>
        <w:pStyle w:val="4"/>
        <w:rPr>
          <w:rFonts w:ascii="宋体" w:hAnsi="宋体" w:cs="仿宋"/>
          <w:bCs/>
          <w:sz w:val="28"/>
          <w:szCs w:val="28"/>
        </w:rPr>
      </w:pPr>
    </w:p>
    <w:p w14:paraId="4FB31271">
      <w:pPr>
        <w:pStyle w:val="4"/>
        <w:rPr>
          <w:rFonts w:ascii="宋体" w:hAnsi="宋体" w:cs="仿宋"/>
          <w:bCs/>
          <w:sz w:val="28"/>
          <w:szCs w:val="28"/>
        </w:rPr>
      </w:pPr>
    </w:p>
    <w:p w14:paraId="183A08C8">
      <w:pPr>
        <w:pStyle w:val="4"/>
        <w:rPr>
          <w:rFonts w:ascii="宋体" w:hAnsi="宋体" w:cs="仿宋"/>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4DAEDFA3-3C57-4370-967D-09E9DB97EE66}"/>
  </w:font>
  <w:font w:name="Arial Unicode MS">
    <w:panose1 w:val="020B0604020202020204"/>
    <w:charset w:val="86"/>
    <w:family w:val="auto"/>
    <w:pitch w:val="default"/>
    <w:sig w:usb0="FFFFFFFF" w:usb1="E9FFFFFF" w:usb2="0000003F" w:usb3="00000000" w:csb0="603F01FF" w:csb1="FFFF0000"/>
    <w:embedRegular r:id="rId2" w:fontKey="{E8FDF4AF-E8F3-4CC7-B9F9-C32A73FABF5D}"/>
  </w:font>
  <w:font w:name="仿宋_GB2312">
    <w:panose1 w:val="02010609030101010101"/>
    <w:charset w:val="86"/>
    <w:family w:val="modern"/>
    <w:pitch w:val="default"/>
    <w:sig w:usb0="00000001" w:usb1="080E0000" w:usb2="00000000" w:usb3="00000000" w:csb0="00040000" w:csb1="00000000"/>
    <w:embedRegular r:id="rId3" w:fontKey="{DD120C05-4D06-49F0-9A15-3FAB79298B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D70D">
    <w:pPr>
      <w:pStyle w:val="11"/>
      <w:jc w:val="center"/>
    </w:pPr>
    <w:r>
      <w:fldChar w:fldCharType="begin"/>
    </w:r>
    <w:r>
      <w:instrText xml:space="preserve">PAGE   \* MERGEFORMAT</w:instrText>
    </w:r>
    <w:r>
      <w:fldChar w:fldCharType="separate"/>
    </w:r>
    <w:r>
      <w:rPr>
        <w:lang w:val="zh-CN"/>
      </w:rPr>
      <w:t>12</w:t>
    </w:r>
    <w:r>
      <w:rPr>
        <w:lang w:val="zh-CN"/>
      </w:rPr>
      <w:fldChar w:fldCharType="end"/>
    </w:r>
  </w:p>
  <w:p w14:paraId="311AA07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881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22652"/>
    <w:multiLevelType w:val="singleLevel"/>
    <w:tmpl w:val="E7E226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OWNjZjQxZGY4NDBmMWI4MzY5ZTJlYmU1MmFmZWIifQ=="/>
  </w:docVars>
  <w:rsids>
    <w:rsidRoot w:val="00D46F4B"/>
    <w:rsid w:val="000510B6"/>
    <w:rsid w:val="001037F1"/>
    <w:rsid w:val="001B69B5"/>
    <w:rsid w:val="00530B0B"/>
    <w:rsid w:val="00587CB0"/>
    <w:rsid w:val="00606214"/>
    <w:rsid w:val="00684C7A"/>
    <w:rsid w:val="006E6810"/>
    <w:rsid w:val="0070494F"/>
    <w:rsid w:val="00704FAC"/>
    <w:rsid w:val="00713EBD"/>
    <w:rsid w:val="0073031B"/>
    <w:rsid w:val="0079502B"/>
    <w:rsid w:val="007D6A53"/>
    <w:rsid w:val="00A14DCD"/>
    <w:rsid w:val="00A305D8"/>
    <w:rsid w:val="00A32940"/>
    <w:rsid w:val="00A3470B"/>
    <w:rsid w:val="00A6564F"/>
    <w:rsid w:val="00B27A58"/>
    <w:rsid w:val="00B54B30"/>
    <w:rsid w:val="00B6620E"/>
    <w:rsid w:val="00B865FB"/>
    <w:rsid w:val="00B92181"/>
    <w:rsid w:val="00BC54FA"/>
    <w:rsid w:val="00BD2128"/>
    <w:rsid w:val="00BF5B29"/>
    <w:rsid w:val="00C876A6"/>
    <w:rsid w:val="00CF7B08"/>
    <w:rsid w:val="00D46F4B"/>
    <w:rsid w:val="00D56804"/>
    <w:rsid w:val="00D74CEE"/>
    <w:rsid w:val="00D8383B"/>
    <w:rsid w:val="00DA5DF6"/>
    <w:rsid w:val="00E368B9"/>
    <w:rsid w:val="00E51A94"/>
    <w:rsid w:val="00E76A23"/>
    <w:rsid w:val="00E87E41"/>
    <w:rsid w:val="00F844E1"/>
    <w:rsid w:val="01113D6B"/>
    <w:rsid w:val="01141165"/>
    <w:rsid w:val="011A24F4"/>
    <w:rsid w:val="012A4E2C"/>
    <w:rsid w:val="01610122"/>
    <w:rsid w:val="018F6A3E"/>
    <w:rsid w:val="01913DF5"/>
    <w:rsid w:val="019422A6"/>
    <w:rsid w:val="01944054"/>
    <w:rsid w:val="01B841E6"/>
    <w:rsid w:val="01FE5971"/>
    <w:rsid w:val="020F7B7E"/>
    <w:rsid w:val="021D04ED"/>
    <w:rsid w:val="023E3894"/>
    <w:rsid w:val="0288005D"/>
    <w:rsid w:val="02A12ECC"/>
    <w:rsid w:val="031919D7"/>
    <w:rsid w:val="03194B7A"/>
    <w:rsid w:val="033A0C2B"/>
    <w:rsid w:val="03503713"/>
    <w:rsid w:val="03555A65"/>
    <w:rsid w:val="03563CB7"/>
    <w:rsid w:val="03604B36"/>
    <w:rsid w:val="03773C2D"/>
    <w:rsid w:val="03E56DE9"/>
    <w:rsid w:val="03F217AF"/>
    <w:rsid w:val="041C5668"/>
    <w:rsid w:val="04293179"/>
    <w:rsid w:val="04363AE8"/>
    <w:rsid w:val="04504BAA"/>
    <w:rsid w:val="04C36455"/>
    <w:rsid w:val="04CD7FA9"/>
    <w:rsid w:val="04D26DF1"/>
    <w:rsid w:val="04DA0918"/>
    <w:rsid w:val="04DA4474"/>
    <w:rsid w:val="04E377CC"/>
    <w:rsid w:val="04F33787"/>
    <w:rsid w:val="05085485"/>
    <w:rsid w:val="050D65F7"/>
    <w:rsid w:val="051B2143"/>
    <w:rsid w:val="051E25B2"/>
    <w:rsid w:val="0534627A"/>
    <w:rsid w:val="05452235"/>
    <w:rsid w:val="055B2301"/>
    <w:rsid w:val="058645FB"/>
    <w:rsid w:val="05B72A07"/>
    <w:rsid w:val="05CD5D86"/>
    <w:rsid w:val="05D37841"/>
    <w:rsid w:val="05D90BCF"/>
    <w:rsid w:val="060E2B1D"/>
    <w:rsid w:val="06304C93"/>
    <w:rsid w:val="063127B9"/>
    <w:rsid w:val="067526A6"/>
    <w:rsid w:val="067B3A34"/>
    <w:rsid w:val="067F52D3"/>
    <w:rsid w:val="06A27213"/>
    <w:rsid w:val="06A42F8B"/>
    <w:rsid w:val="06AD62E4"/>
    <w:rsid w:val="06CE625A"/>
    <w:rsid w:val="06D05B2E"/>
    <w:rsid w:val="06E23AB3"/>
    <w:rsid w:val="06F55595"/>
    <w:rsid w:val="071C0D73"/>
    <w:rsid w:val="073267E9"/>
    <w:rsid w:val="07373DFF"/>
    <w:rsid w:val="07585B24"/>
    <w:rsid w:val="07707311"/>
    <w:rsid w:val="077741FC"/>
    <w:rsid w:val="078132CC"/>
    <w:rsid w:val="078608E3"/>
    <w:rsid w:val="07876590"/>
    <w:rsid w:val="079E5D91"/>
    <w:rsid w:val="079F3753"/>
    <w:rsid w:val="07D21D7A"/>
    <w:rsid w:val="07ED0962"/>
    <w:rsid w:val="07ED2710"/>
    <w:rsid w:val="08236132"/>
    <w:rsid w:val="082C4FE6"/>
    <w:rsid w:val="082D6FB0"/>
    <w:rsid w:val="08493DEA"/>
    <w:rsid w:val="08566507"/>
    <w:rsid w:val="08585DDB"/>
    <w:rsid w:val="085F360E"/>
    <w:rsid w:val="08602EE2"/>
    <w:rsid w:val="08626C5A"/>
    <w:rsid w:val="08640C24"/>
    <w:rsid w:val="08B87AAD"/>
    <w:rsid w:val="08D24A4F"/>
    <w:rsid w:val="08D51B22"/>
    <w:rsid w:val="091066B6"/>
    <w:rsid w:val="093E76C7"/>
    <w:rsid w:val="09524F20"/>
    <w:rsid w:val="09650410"/>
    <w:rsid w:val="097000E8"/>
    <w:rsid w:val="09722ECD"/>
    <w:rsid w:val="09B039F5"/>
    <w:rsid w:val="09D05E45"/>
    <w:rsid w:val="09DC611C"/>
    <w:rsid w:val="09ED2823"/>
    <w:rsid w:val="0A102141"/>
    <w:rsid w:val="0A2368BD"/>
    <w:rsid w:val="0A283ED3"/>
    <w:rsid w:val="0A312D88"/>
    <w:rsid w:val="0A387CF6"/>
    <w:rsid w:val="0A4707FD"/>
    <w:rsid w:val="0A726EFC"/>
    <w:rsid w:val="0A7333A0"/>
    <w:rsid w:val="0A876E4C"/>
    <w:rsid w:val="0AA417AC"/>
    <w:rsid w:val="0AAE262A"/>
    <w:rsid w:val="0AC27E84"/>
    <w:rsid w:val="0ACB6D33"/>
    <w:rsid w:val="0AE0655C"/>
    <w:rsid w:val="0AE47DFA"/>
    <w:rsid w:val="0B1B7594"/>
    <w:rsid w:val="0B444D3D"/>
    <w:rsid w:val="0B4D3BF1"/>
    <w:rsid w:val="0B5A4560"/>
    <w:rsid w:val="0B680A2B"/>
    <w:rsid w:val="0B7C44D7"/>
    <w:rsid w:val="0B835865"/>
    <w:rsid w:val="0B8D0492"/>
    <w:rsid w:val="0BA53F2C"/>
    <w:rsid w:val="0BAD643E"/>
    <w:rsid w:val="0BB43C70"/>
    <w:rsid w:val="0BB974D9"/>
    <w:rsid w:val="0BF91683"/>
    <w:rsid w:val="0C1110C3"/>
    <w:rsid w:val="0C77125C"/>
    <w:rsid w:val="0C7A29ED"/>
    <w:rsid w:val="0C7B02EA"/>
    <w:rsid w:val="0C996E78"/>
    <w:rsid w:val="0CA02447"/>
    <w:rsid w:val="0CA37841"/>
    <w:rsid w:val="0CC25F19"/>
    <w:rsid w:val="0CC779D3"/>
    <w:rsid w:val="0CD345CA"/>
    <w:rsid w:val="0CD45A1D"/>
    <w:rsid w:val="0CDB683C"/>
    <w:rsid w:val="0CDB6FDB"/>
    <w:rsid w:val="0CEA5470"/>
    <w:rsid w:val="0CEF10C4"/>
    <w:rsid w:val="0D020A0B"/>
    <w:rsid w:val="0D224C0A"/>
    <w:rsid w:val="0D4F3EDF"/>
    <w:rsid w:val="0D645222"/>
    <w:rsid w:val="0D7F3E0A"/>
    <w:rsid w:val="0D921D8F"/>
    <w:rsid w:val="0D957AD2"/>
    <w:rsid w:val="0D984ECC"/>
    <w:rsid w:val="0DC83A03"/>
    <w:rsid w:val="0DD24882"/>
    <w:rsid w:val="0DDC300B"/>
    <w:rsid w:val="0DE9184E"/>
    <w:rsid w:val="0DF5231E"/>
    <w:rsid w:val="0DFA5B87"/>
    <w:rsid w:val="0E0A401C"/>
    <w:rsid w:val="0E323572"/>
    <w:rsid w:val="0E5B6625"/>
    <w:rsid w:val="0E76345F"/>
    <w:rsid w:val="0EA16002"/>
    <w:rsid w:val="0EA24254"/>
    <w:rsid w:val="0EA3065D"/>
    <w:rsid w:val="0ECF0DC1"/>
    <w:rsid w:val="0F024CF3"/>
    <w:rsid w:val="0F2E3D3A"/>
    <w:rsid w:val="0F3B0205"/>
    <w:rsid w:val="0F5A4B2F"/>
    <w:rsid w:val="0F5B69A0"/>
    <w:rsid w:val="0FB35FED"/>
    <w:rsid w:val="0FF54858"/>
    <w:rsid w:val="10477E55"/>
    <w:rsid w:val="1053332C"/>
    <w:rsid w:val="106612B1"/>
    <w:rsid w:val="10675755"/>
    <w:rsid w:val="106F0166"/>
    <w:rsid w:val="10B97633"/>
    <w:rsid w:val="10BB33AB"/>
    <w:rsid w:val="10E36DA6"/>
    <w:rsid w:val="10E70644"/>
    <w:rsid w:val="10FB5E9E"/>
    <w:rsid w:val="111725AC"/>
    <w:rsid w:val="11276C93"/>
    <w:rsid w:val="112E6273"/>
    <w:rsid w:val="112E78A0"/>
    <w:rsid w:val="113413B0"/>
    <w:rsid w:val="113E3FDC"/>
    <w:rsid w:val="11532CC9"/>
    <w:rsid w:val="1158509E"/>
    <w:rsid w:val="1170063A"/>
    <w:rsid w:val="117B2B3A"/>
    <w:rsid w:val="11A958FA"/>
    <w:rsid w:val="11D30BC8"/>
    <w:rsid w:val="11D81D3B"/>
    <w:rsid w:val="11FC3C7B"/>
    <w:rsid w:val="12064AFA"/>
    <w:rsid w:val="12072620"/>
    <w:rsid w:val="121A05A5"/>
    <w:rsid w:val="12274A70"/>
    <w:rsid w:val="122D6FB1"/>
    <w:rsid w:val="123F000C"/>
    <w:rsid w:val="12411C05"/>
    <w:rsid w:val="124E024F"/>
    <w:rsid w:val="12503389"/>
    <w:rsid w:val="126006FF"/>
    <w:rsid w:val="126A32DB"/>
    <w:rsid w:val="127C4DBC"/>
    <w:rsid w:val="127D50AD"/>
    <w:rsid w:val="129A7EC5"/>
    <w:rsid w:val="12A762DD"/>
    <w:rsid w:val="12BA7692"/>
    <w:rsid w:val="12DC0E07"/>
    <w:rsid w:val="12E110C3"/>
    <w:rsid w:val="12F47048"/>
    <w:rsid w:val="1301520B"/>
    <w:rsid w:val="1303728B"/>
    <w:rsid w:val="130B7EEE"/>
    <w:rsid w:val="130C6140"/>
    <w:rsid w:val="132135F0"/>
    <w:rsid w:val="13217712"/>
    <w:rsid w:val="13255454"/>
    <w:rsid w:val="134C478E"/>
    <w:rsid w:val="13763F01"/>
    <w:rsid w:val="137912FC"/>
    <w:rsid w:val="13833F28"/>
    <w:rsid w:val="138A52B7"/>
    <w:rsid w:val="138F28CD"/>
    <w:rsid w:val="139602AC"/>
    <w:rsid w:val="13961EAE"/>
    <w:rsid w:val="13BC5DB8"/>
    <w:rsid w:val="13EE3A98"/>
    <w:rsid w:val="13F53078"/>
    <w:rsid w:val="13FB7F63"/>
    <w:rsid w:val="141352AC"/>
    <w:rsid w:val="14151024"/>
    <w:rsid w:val="143D057B"/>
    <w:rsid w:val="1441006B"/>
    <w:rsid w:val="144C07BE"/>
    <w:rsid w:val="146E4BD8"/>
    <w:rsid w:val="14797091"/>
    <w:rsid w:val="148F7029"/>
    <w:rsid w:val="14C15ED1"/>
    <w:rsid w:val="14F055ED"/>
    <w:rsid w:val="15015A4D"/>
    <w:rsid w:val="15111D7F"/>
    <w:rsid w:val="151439D2"/>
    <w:rsid w:val="155913E5"/>
    <w:rsid w:val="156C736A"/>
    <w:rsid w:val="15C42D02"/>
    <w:rsid w:val="15DE18EA"/>
    <w:rsid w:val="15F335E7"/>
    <w:rsid w:val="15F86E50"/>
    <w:rsid w:val="160037E8"/>
    <w:rsid w:val="162E0AC3"/>
    <w:rsid w:val="16363F26"/>
    <w:rsid w:val="164F459E"/>
    <w:rsid w:val="16511864"/>
    <w:rsid w:val="166D339A"/>
    <w:rsid w:val="16B5089D"/>
    <w:rsid w:val="16B70AB9"/>
    <w:rsid w:val="16C20037"/>
    <w:rsid w:val="16CB6312"/>
    <w:rsid w:val="16D17529"/>
    <w:rsid w:val="16E3540A"/>
    <w:rsid w:val="171750B3"/>
    <w:rsid w:val="171B1048"/>
    <w:rsid w:val="17377504"/>
    <w:rsid w:val="177644D0"/>
    <w:rsid w:val="177C3546"/>
    <w:rsid w:val="178741D0"/>
    <w:rsid w:val="178C5AA1"/>
    <w:rsid w:val="17C3774B"/>
    <w:rsid w:val="17CC0594"/>
    <w:rsid w:val="17D336D0"/>
    <w:rsid w:val="17DD454F"/>
    <w:rsid w:val="17E23913"/>
    <w:rsid w:val="17F43647"/>
    <w:rsid w:val="182A0E16"/>
    <w:rsid w:val="18552337"/>
    <w:rsid w:val="185760AF"/>
    <w:rsid w:val="185C1918"/>
    <w:rsid w:val="18934C0E"/>
    <w:rsid w:val="18A24E51"/>
    <w:rsid w:val="18B43502"/>
    <w:rsid w:val="18BE612E"/>
    <w:rsid w:val="18C1177B"/>
    <w:rsid w:val="18E15979"/>
    <w:rsid w:val="18EF453A"/>
    <w:rsid w:val="18F953B8"/>
    <w:rsid w:val="19102702"/>
    <w:rsid w:val="19287A4C"/>
    <w:rsid w:val="19347B07"/>
    <w:rsid w:val="19940C3D"/>
    <w:rsid w:val="199C7AF2"/>
    <w:rsid w:val="1A1678A4"/>
    <w:rsid w:val="1A1A3838"/>
    <w:rsid w:val="1A231FC1"/>
    <w:rsid w:val="1A3D12D5"/>
    <w:rsid w:val="1A475CB0"/>
    <w:rsid w:val="1A4F4AF2"/>
    <w:rsid w:val="1A937147"/>
    <w:rsid w:val="1A942B6C"/>
    <w:rsid w:val="1B1C0EEA"/>
    <w:rsid w:val="1B6F54BE"/>
    <w:rsid w:val="1BAA4748"/>
    <w:rsid w:val="1BAF1D5E"/>
    <w:rsid w:val="1BB630ED"/>
    <w:rsid w:val="1BC33A7A"/>
    <w:rsid w:val="1C4A5F2B"/>
    <w:rsid w:val="1C915908"/>
    <w:rsid w:val="1CA70C88"/>
    <w:rsid w:val="1CB02232"/>
    <w:rsid w:val="1CBC0BD7"/>
    <w:rsid w:val="1CF77E61"/>
    <w:rsid w:val="1D0B56BA"/>
    <w:rsid w:val="1D187DD7"/>
    <w:rsid w:val="1D5A03F0"/>
    <w:rsid w:val="1D74500E"/>
    <w:rsid w:val="1D772D50"/>
    <w:rsid w:val="1D790876"/>
    <w:rsid w:val="1D7C2114"/>
    <w:rsid w:val="1D7E7C3A"/>
    <w:rsid w:val="1D8D2573"/>
    <w:rsid w:val="1DF60118"/>
    <w:rsid w:val="1E0740D4"/>
    <w:rsid w:val="1E087E4C"/>
    <w:rsid w:val="1E37603B"/>
    <w:rsid w:val="1E4D585F"/>
    <w:rsid w:val="1E537319"/>
    <w:rsid w:val="1E6E5F01"/>
    <w:rsid w:val="1EBA71B8"/>
    <w:rsid w:val="1EBB6C6C"/>
    <w:rsid w:val="1F016D75"/>
    <w:rsid w:val="1F106FB8"/>
    <w:rsid w:val="1F325180"/>
    <w:rsid w:val="1F3A5DE3"/>
    <w:rsid w:val="1F42113B"/>
    <w:rsid w:val="1F5275D0"/>
    <w:rsid w:val="1F642E60"/>
    <w:rsid w:val="1F6B68E4"/>
    <w:rsid w:val="1F6D7F66"/>
    <w:rsid w:val="1FA85442"/>
    <w:rsid w:val="1FB27619"/>
    <w:rsid w:val="1FC3227C"/>
    <w:rsid w:val="1FFC753C"/>
    <w:rsid w:val="200B777F"/>
    <w:rsid w:val="20340A84"/>
    <w:rsid w:val="204C4020"/>
    <w:rsid w:val="20605D1D"/>
    <w:rsid w:val="20631369"/>
    <w:rsid w:val="207277FE"/>
    <w:rsid w:val="20790B8D"/>
    <w:rsid w:val="2079293B"/>
    <w:rsid w:val="20801F1B"/>
    <w:rsid w:val="20831A0C"/>
    <w:rsid w:val="208F215E"/>
    <w:rsid w:val="209D0D1F"/>
    <w:rsid w:val="20D52267"/>
    <w:rsid w:val="20F04898"/>
    <w:rsid w:val="210448FA"/>
    <w:rsid w:val="21221225"/>
    <w:rsid w:val="213351E0"/>
    <w:rsid w:val="21690C01"/>
    <w:rsid w:val="21C44E06"/>
    <w:rsid w:val="21DD6EFA"/>
    <w:rsid w:val="21DF308D"/>
    <w:rsid w:val="21E5472C"/>
    <w:rsid w:val="220F44FB"/>
    <w:rsid w:val="22280ABD"/>
    <w:rsid w:val="22605204"/>
    <w:rsid w:val="2265761B"/>
    <w:rsid w:val="22A04AF7"/>
    <w:rsid w:val="22D36C7A"/>
    <w:rsid w:val="22F56888"/>
    <w:rsid w:val="22FB1D2D"/>
    <w:rsid w:val="23052BAC"/>
    <w:rsid w:val="23072480"/>
    <w:rsid w:val="231150AD"/>
    <w:rsid w:val="231828DF"/>
    <w:rsid w:val="23447230"/>
    <w:rsid w:val="235558E1"/>
    <w:rsid w:val="235A6A54"/>
    <w:rsid w:val="23621A97"/>
    <w:rsid w:val="236D2C2B"/>
    <w:rsid w:val="2383244E"/>
    <w:rsid w:val="239A7798"/>
    <w:rsid w:val="23A203FB"/>
    <w:rsid w:val="23B720F8"/>
    <w:rsid w:val="23E10F23"/>
    <w:rsid w:val="23E12CD1"/>
    <w:rsid w:val="23ED1676"/>
    <w:rsid w:val="24191B5D"/>
    <w:rsid w:val="2435301D"/>
    <w:rsid w:val="24577437"/>
    <w:rsid w:val="248C5333"/>
    <w:rsid w:val="24E16D01"/>
    <w:rsid w:val="251D242F"/>
    <w:rsid w:val="253908EB"/>
    <w:rsid w:val="256736AA"/>
    <w:rsid w:val="256C6F12"/>
    <w:rsid w:val="256F255E"/>
    <w:rsid w:val="25711C1B"/>
    <w:rsid w:val="257302A1"/>
    <w:rsid w:val="257F27A2"/>
    <w:rsid w:val="25B3069D"/>
    <w:rsid w:val="25B61F3B"/>
    <w:rsid w:val="25DA20CE"/>
    <w:rsid w:val="26170C2C"/>
    <w:rsid w:val="263227F8"/>
    <w:rsid w:val="263A0DBE"/>
    <w:rsid w:val="265956E8"/>
    <w:rsid w:val="266F0A68"/>
    <w:rsid w:val="26802C75"/>
    <w:rsid w:val="26AD333E"/>
    <w:rsid w:val="26B66697"/>
    <w:rsid w:val="26BE72FA"/>
    <w:rsid w:val="26C2328E"/>
    <w:rsid w:val="26D05C03"/>
    <w:rsid w:val="26D703BB"/>
    <w:rsid w:val="26F5680D"/>
    <w:rsid w:val="27117D71"/>
    <w:rsid w:val="271909D4"/>
    <w:rsid w:val="272560F0"/>
    <w:rsid w:val="272730F1"/>
    <w:rsid w:val="274A3283"/>
    <w:rsid w:val="27A42993"/>
    <w:rsid w:val="27A6670B"/>
    <w:rsid w:val="27B34984"/>
    <w:rsid w:val="27ED433A"/>
    <w:rsid w:val="27F3375E"/>
    <w:rsid w:val="27FD20A3"/>
    <w:rsid w:val="280B47C0"/>
    <w:rsid w:val="28140F26"/>
    <w:rsid w:val="281D62A2"/>
    <w:rsid w:val="289A78F2"/>
    <w:rsid w:val="28B16468"/>
    <w:rsid w:val="28B766F6"/>
    <w:rsid w:val="28D92B11"/>
    <w:rsid w:val="28EC2844"/>
    <w:rsid w:val="28EF7C3E"/>
    <w:rsid w:val="28F9286B"/>
    <w:rsid w:val="29542197"/>
    <w:rsid w:val="295757E3"/>
    <w:rsid w:val="2964687E"/>
    <w:rsid w:val="298E38FB"/>
    <w:rsid w:val="29A0418A"/>
    <w:rsid w:val="29A0718A"/>
    <w:rsid w:val="29A547A1"/>
    <w:rsid w:val="29D67050"/>
    <w:rsid w:val="29F80D74"/>
    <w:rsid w:val="2A0B6CFA"/>
    <w:rsid w:val="2A224043"/>
    <w:rsid w:val="2A263B34"/>
    <w:rsid w:val="2A2953D2"/>
    <w:rsid w:val="2A3A138D"/>
    <w:rsid w:val="2A554419"/>
    <w:rsid w:val="2A842608"/>
    <w:rsid w:val="2AB0164F"/>
    <w:rsid w:val="2ACB0237"/>
    <w:rsid w:val="2AEF03C9"/>
    <w:rsid w:val="2B08148B"/>
    <w:rsid w:val="2B126E47"/>
    <w:rsid w:val="2B1C4F36"/>
    <w:rsid w:val="2B412B78"/>
    <w:rsid w:val="2B5C67AA"/>
    <w:rsid w:val="2B5E10AB"/>
    <w:rsid w:val="2B807273"/>
    <w:rsid w:val="2BA035A1"/>
    <w:rsid w:val="2BA432C8"/>
    <w:rsid w:val="2BC43604"/>
    <w:rsid w:val="2BC74EA2"/>
    <w:rsid w:val="2BC90C1A"/>
    <w:rsid w:val="2BF33EE9"/>
    <w:rsid w:val="2C015055"/>
    <w:rsid w:val="2C0B28F8"/>
    <w:rsid w:val="2C0C01DE"/>
    <w:rsid w:val="2C245E51"/>
    <w:rsid w:val="2C3D33B6"/>
    <w:rsid w:val="2C3F712F"/>
    <w:rsid w:val="2C484235"/>
    <w:rsid w:val="2C704A6C"/>
    <w:rsid w:val="2C9F5E1F"/>
    <w:rsid w:val="2CAE473D"/>
    <w:rsid w:val="2CB25B52"/>
    <w:rsid w:val="2CB5119F"/>
    <w:rsid w:val="2CD755B9"/>
    <w:rsid w:val="2CDA0C05"/>
    <w:rsid w:val="2CDE06F5"/>
    <w:rsid w:val="2CEB4BC0"/>
    <w:rsid w:val="2D3227EF"/>
    <w:rsid w:val="2D3622E0"/>
    <w:rsid w:val="2D377E06"/>
    <w:rsid w:val="2D8D7A26"/>
    <w:rsid w:val="2DBF0527"/>
    <w:rsid w:val="2DDB4C35"/>
    <w:rsid w:val="2E24482E"/>
    <w:rsid w:val="2E56075F"/>
    <w:rsid w:val="2E627104"/>
    <w:rsid w:val="2E8452CD"/>
    <w:rsid w:val="2E951288"/>
    <w:rsid w:val="2E980D78"/>
    <w:rsid w:val="2EA262FD"/>
    <w:rsid w:val="2EAD4A77"/>
    <w:rsid w:val="2EBA7365"/>
    <w:rsid w:val="2EE6563F"/>
    <w:rsid w:val="2F063F34"/>
    <w:rsid w:val="2F084151"/>
    <w:rsid w:val="2F300FB0"/>
    <w:rsid w:val="2F432A92"/>
    <w:rsid w:val="2F7E1D1C"/>
    <w:rsid w:val="2FA379D4"/>
    <w:rsid w:val="2FC5794B"/>
    <w:rsid w:val="2FF16992"/>
    <w:rsid w:val="2FFB511A"/>
    <w:rsid w:val="302208F9"/>
    <w:rsid w:val="30227E4E"/>
    <w:rsid w:val="304F6E45"/>
    <w:rsid w:val="309F63EE"/>
    <w:rsid w:val="30B8345E"/>
    <w:rsid w:val="30FF0C3A"/>
    <w:rsid w:val="313308E4"/>
    <w:rsid w:val="313528AE"/>
    <w:rsid w:val="313C3C3D"/>
    <w:rsid w:val="314D409C"/>
    <w:rsid w:val="314D5E4A"/>
    <w:rsid w:val="316039A7"/>
    <w:rsid w:val="316136A3"/>
    <w:rsid w:val="3166515D"/>
    <w:rsid w:val="316B62D0"/>
    <w:rsid w:val="319C292D"/>
    <w:rsid w:val="319C46DB"/>
    <w:rsid w:val="31A33CBC"/>
    <w:rsid w:val="31AD2EDE"/>
    <w:rsid w:val="31EF28C3"/>
    <w:rsid w:val="320D7387"/>
    <w:rsid w:val="32180D34"/>
    <w:rsid w:val="322A1CE7"/>
    <w:rsid w:val="323D7C6C"/>
    <w:rsid w:val="326C67A3"/>
    <w:rsid w:val="32895D72"/>
    <w:rsid w:val="32A26E1B"/>
    <w:rsid w:val="32BD0DAD"/>
    <w:rsid w:val="32CC2D9E"/>
    <w:rsid w:val="32E93950"/>
    <w:rsid w:val="3307027A"/>
    <w:rsid w:val="330E33B7"/>
    <w:rsid w:val="336D4581"/>
    <w:rsid w:val="339F2DA9"/>
    <w:rsid w:val="33AF4B9A"/>
    <w:rsid w:val="33BC2E13"/>
    <w:rsid w:val="33BC72B7"/>
    <w:rsid w:val="33C06DA7"/>
    <w:rsid w:val="33D77C4D"/>
    <w:rsid w:val="33DC34B5"/>
    <w:rsid w:val="33F425AD"/>
    <w:rsid w:val="33F73466"/>
    <w:rsid w:val="33F94067"/>
    <w:rsid w:val="33FC76B3"/>
    <w:rsid w:val="33FE78CF"/>
    <w:rsid w:val="340C5B48"/>
    <w:rsid w:val="3431735D"/>
    <w:rsid w:val="344F3C87"/>
    <w:rsid w:val="344F718C"/>
    <w:rsid w:val="346C65E7"/>
    <w:rsid w:val="34713BFD"/>
    <w:rsid w:val="348953EB"/>
    <w:rsid w:val="34A43FD3"/>
    <w:rsid w:val="34DF500B"/>
    <w:rsid w:val="34FE17BE"/>
    <w:rsid w:val="351849C1"/>
    <w:rsid w:val="3520212F"/>
    <w:rsid w:val="352B46F4"/>
    <w:rsid w:val="35415CC5"/>
    <w:rsid w:val="354D7B86"/>
    <w:rsid w:val="355552CD"/>
    <w:rsid w:val="356A35B4"/>
    <w:rsid w:val="35700359"/>
    <w:rsid w:val="359C0020"/>
    <w:rsid w:val="35B50461"/>
    <w:rsid w:val="35EF127D"/>
    <w:rsid w:val="361B02C4"/>
    <w:rsid w:val="363639FC"/>
    <w:rsid w:val="36407D2B"/>
    <w:rsid w:val="36486BE0"/>
    <w:rsid w:val="36511F38"/>
    <w:rsid w:val="365437D6"/>
    <w:rsid w:val="36785717"/>
    <w:rsid w:val="369E4A52"/>
    <w:rsid w:val="36F01751"/>
    <w:rsid w:val="3720190B"/>
    <w:rsid w:val="37225F66"/>
    <w:rsid w:val="3727713D"/>
    <w:rsid w:val="37335AE2"/>
    <w:rsid w:val="376161AB"/>
    <w:rsid w:val="378400EB"/>
    <w:rsid w:val="378A1115"/>
    <w:rsid w:val="378F5D1A"/>
    <w:rsid w:val="37AB38CA"/>
    <w:rsid w:val="37AE5168"/>
    <w:rsid w:val="37C17447"/>
    <w:rsid w:val="37C93D50"/>
    <w:rsid w:val="37CB1876"/>
    <w:rsid w:val="37D01583"/>
    <w:rsid w:val="37DC7F27"/>
    <w:rsid w:val="37E42938"/>
    <w:rsid w:val="37F039D3"/>
    <w:rsid w:val="37F708BD"/>
    <w:rsid w:val="38163439"/>
    <w:rsid w:val="381E6B86"/>
    <w:rsid w:val="383733B0"/>
    <w:rsid w:val="38741F0E"/>
    <w:rsid w:val="38983E4E"/>
    <w:rsid w:val="38B77CE5"/>
    <w:rsid w:val="38C60271"/>
    <w:rsid w:val="38DF7CCF"/>
    <w:rsid w:val="38E2331B"/>
    <w:rsid w:val="38EA21D0"/>
    <w:rsid w:val="3905700A"/>
    <w:rsid w:val="392C4597"/>
    <w:rsid w:val="39537D75"/>
    <w:rsid w:val="395A7356"/>
    <w:rsid w:val="395F671A"/>
    <w:rsid w:val="396401D4"/>
    <w:rsid w:val="39882115"/>
    <w:rsid w:val="399B34CA"/>
    <w:rsid w:val="39A46823"/>
    <w:rsid w:val="39AE31FE"/>
    <w:rsid w:val="39CE1AF2"/>
    <w:rsid w:val="39E66E3B"/>
    <w:rsid w:val="3A322081"/>
    <w:rsid w:val="3A39340F"/>
    <w:rsid w:val="3A3C4CAD"/>
    <w:rsid w:val="3A5169AB"/>
    <w:rsid w:val="3A5F274A"/>
    <w:rsid w:val="3A647D60"/>
    <w:rsid w:val="3A7D77A0"/>
    <w:rsid w:val="3AB962FE"/>
    <w:rsid w:val="3AD03BC3"/>
    <w:rsid w:val="3AE113B1"/>
    <w:rsid w:val="3AF47336"/>
    <w:rsid w:val="3B02643E"/>
    <w:rsid w:val="3B392F9B"/>
    <w:rsid w:val="3B3B31B7"/>
    <w:rsid w:val="3B404329"/>
    <w:rsid w:val="3B6806EE"/>
    <w:rsid w:val="3B6C511E"/>
    <w:rsid w:val="3B7346FF"/>
    <w:rsid w:val="3B7F4E52"/>
    <w:rsid w:val="3BAA5C47"/>
    <w:rsid w:val="3BB32E97"/>
    <w:rsid w:val="3BD11425"/>
    <w:rsid w:val="3BFA4E20"/>
    <w:rsid w:val="3C320116"/>
    <w:rsid w:val="3C3814A4"/>
    <w:rsid w:val="3C460065"/>
    <w:rsid w:val="3C6C1A58"/>
    <w:rsid w:val="3C6F3118"/>
    <w:rsid w:val="3C797AF3"/>
    <w:rsid w:val="3C85293C"/>
    <w:rsid w:val="3C872962"/>
    <w:rsid w:val="3CC80A7A"/>
    <w:rsid w:val="3CF63839"/>
    <w:rsid w:val="3CF8135F"/>
    <w:rsid w:val="3D3E0D3C"/>
    <w:rsid w:val="3D406863"/>
    <w:rsid w:val="3D430101"/>
    <w:rsid w:val="3D5D7415"/>
    <w:rsid w:val="3D734E8A"/>
    <w:rsid w:val="3D8D69A3"/>
    <w:rsid w:val="3D962926"/>
    <w:rsid w:val="3DB159B2"/>
    <w:rsid w:val="3DBA03C3"/>
    <w:rsid w:val="3DD551FD"/>
    <w:rsid w:val="3DD82F3F"/>
    <w:rsid w:val="3DDB29FA"/>
    <w:rsid w:val="3DDB658B"/>
    <w:rsid w:val="3DE418E4"/>
    <w:rsid w:val="3DFE0BF8"/>
    <w:rsid w:val="3E261EFC"/>
    <w:rsid w:val="3E435A17"/>
    <w:rsid w:val="3E495BEB"/>
    <w:rsid w:val="3E524A9F"/>
    <w:rsid w:val="3E8135D7"/>
    <w:rsid w:val="3E9A01F4"/>
    <w:rsid w:val="3ED43706"/>
    <w:rsid w:val="3EE15E23"/>
    <w:rsid w:val="3EE31B9B"/>
    <w:rsid w:val="3EE871B2"/>
    <w:rsid w:val="3F113D6B"/>
    <w:rsid w:val="3F780536"/>
    <w:rsid w:val="3F782FF2"/>
    <w:rsid w:val="3FB5178A"/>
    <w:rsid w:val="3FD31C10"/>
    <w:rsid w:val="400C6ED0"/>
    <w:rsid w:val="4021297B"/>
    <w:rsid w:val="4024246B"/>
    <w:rsid w:val="40300E10"/>
    <w:rsid w:val="404843AC"/>
    <w:rsid w:val="408847A8"/>
    <w:rsid w:val="409475F1"/>
    <w:rsid w:val="409749EB"/>
    <w:rsid w:val="40A35A86"/>
    <w:rsid w:val="40A37834"/>
    <w:rsid w:val="40B01F51"/>
    <w:rsid w:val="40B732E0"/>
    <w:rsid w:val="40C15F0C"/>
    <w:rsid w:val="40E63BC5"/>
    <w:rsid w:val="40F7192E"/>
    <w:rsid w:val="412A3AB2"/>
    <w:rsid w:val="4146066E"/>
    <w:rsid w:val="419929E5"/>
    <w:rsid w:val="41A04135"/>
    <w:rsid w:val="41BD2B78"/>
    <w:rsid w:val="41CC2DBB"/>
    <w:rsid w:val="41D63C39"/>
    <w:rsid w:val="41E225DE"/>
    <w:rsid w:val="41F643E6"/>
    <w:rsid w:val="42097B6B"/>
    <w:rsid w:val="42187DAE"/>
    <w:rsid w:val="42245877"/>
    <w:rsid w:val="423C4257"/>
    <w:rsid w:val="425C5EED"/>
    <w:rsid w:val="428C60A6"/>
    <w:rsid w:val="429B024B"/>
    <w:rsid w:val="42C35F6C"/>
    <w:rsid w:val="42C615B8"/>
    <w:rsid w:val="42C8133E"/>
    <w:rsid w:val="42D24401"/>
    <w:rsid w:val="430A3B9B"/>
    <w:rsid w:val="430F7403"/>
    <w:rsid w:val="431E13F4"/>
    <w:rsid w:val="432F3601"/>
    <w:rsid w:val="43361F5E"/>
    <w:rsid w:val="433A2BE7"/>
    <w:rsid w:val="433B01F8"/>
    <w:rsid w:val="43454BD3"/>
    <w:rsid w:val="434D7F2B"/>
    <w:rsid w:val="435631DA"/>
    <w:rsid w:val="435A7F52"/>
    <w:rsid w:val="43657023"/>
    <w:rsid w:val="43686B13"/>
    <w:rsid w:val="43A0005B"/>
    <w:rsid w:val="43AB5312"/>
    <w:rsid w:val="43AF33E7"/>
    <w:rsid w:val="43C31F9B"/>
    <w:rsid w:val="43E91A02"/>
    <w:rsid w:val="44095C00"/>
    <w:rsid w:val="442C18EF"/>
    <w:rsid w:val="44354C47"/>
    <w:rsid w:val="444255B6"/>
    <w:rsid w:val="444529B0"/>
    <w:rsid w:val="44627A06"/>
    <w:rsid w:val="44767037"/>
    <w:rsid w:val="44784B34"/>
    <w:rsid w:val="448259B3"/>
    <w:rsid w:val="44A1408B"/>
    <w:rsid w:val="44B6565C"/>
    <w:rsid w:val="44BF2763"/>
    <w:rsid w:val="45184AC0"/>
    <w:rsid w:val="452151CC"/>
    <w:rsid w:val="453018B3"/>
    <w:rsid w:val="45320ABD"/>
    <w:rsid w:val="455B0B65"/>
    <w:rsid w:val="45843250"/>
    <w:rsid w:val="4588349D"/>
    <w:rsid w:val="45AF4585"/>
    <w:rsid w:val="45B918E8"/>
    <w:rsid w:val="45F12DF0"/>
    <w:rsid w:val="45F243C1"/>
    <w:rsid w:val="45F4643C"/>
    <w:rsid w:val="46040D75"/>
    <w:rsid w:val="460D74FE"/>
    <w:rsid w:val="46116FEE"/>
    <w:rsid w:val="46326F64"/>
    <w:rsid w:val="4635448D"/>
    <w:rsid w:val="464F7B16"/>
    <w:rsid w:val="468E063F"/>
    <w:rsid w:val="46916381"/>
    <w:rsid w:val="469A5235"/>
    <w:rsid w:val="469B15DD"/>
    <w:rsid w:val="469D0882"/>
    <w:rsid w:val="46B24DA7"/>
    <w:rsid w:val="46B97C5D"/>
    <w:rsid w:val="46F72688"/>
    <w:rsid w:val="470D1EAB"/>
    <w:rsid w:val="471843AC"/>
    <w:rsid w:val="472D42FC"/>
    <w:rsid w:val="472F1E22"/>
    <w:rsid w:val="474D674C"/>
    <w:rsid w:val="47855EE6"/>
    <w:rsid w:val="47857C94"/>
    <w:rsid w:val="4799729B"/>
    <w:rsid w:val="479C4FDD"/>
    <w:rsid w:val="47A17A78"/>
    <w:rsid w:val="47AF4D11"/>
    <w:rsid w:val="47CA56A6"/>
    <w:rsid w:val="47DD7AD0"/>
    <w:rsid w:val="47E83E71"/>
    <w:rsid w:val="48030BB8"/>
    <w:rsid w:val="480F3A01"/>
    <w:rsid w:val="481D611E"/>
    <w:rsid w:val="48260CE3"/>
    <w:rsid w:val="482E032B"/>
    <w:rsid w:val="48480CC1"/>
    <w:rsid w:val="487815A6"/>
    <w:rsid w:val="48873598"/>
    <w:rsid w:val="48B8308E"/>
    <w:rsid w:val="48C93BB0"/>
    <w:rsid w:val="48E56510"/>
    <w:rsid w:val="492E435B"/>
    <w:rsid w:val="493C4382"/>
    <w:rsid w:val="49414D2A"/>
    <w:rsid w:val="494B6CBB"/>
    <w:rsid w:val="495C2C76"/>
    <w:rsid w:val="4961028C"/>
    <w:rsid w:val="496D6C31"/>
    <w:rsid w:val="4970701E"/>
    <w:rsid w:val="49753D38"/>
    <w:rsid w:val="49885819"/>
    <w:rsid w:val="49D15412"/>
    <w:rsid w:val="49EF4E60"/>
    <w:rsid w:val="49F92273"/>
    <w:rsid w:val="4A253068"/>
    <w:rsid w:val="4A2C3A0E"/>
    <w:rsid w:val="4A372D9B"/>
    <w:rsid w:val="4A407EA2"/>
    <w:rsid w:val="4A7364C9"/>
    <w:rsid w:val="4AB50890"/>
    <w:rsid w:val="4AEC002A"/>
    <w:rsid w:val="4B0356DE"/>
    <w:rsid w:val="4B084657"/>
    <w:rsid w:val="4B2257F9"/>
    <w:rsid w:val="4B2E419E"/>
    <w:rsid w:val="4B386DCB"/>
    <w:rsid w:val="4B4734B2"/>
    <w:rsid w:val="4B58121B"/>
    <w:rsid w:val="4BB26B7D"/>
    <w:rsid w:val="4BBA1ED6"/>
    <w:rsid w:val="4BFB49C8"/>
    <w:rsid w:val="4C07336D"/>
    <w:rsid w:val="4C157174"/>
    <w:rsid w:val="4C404189"/>
    <w:rsid w:val="4C516396"/>
    <w:rsid w:val="4C72630D"/>
    <w:rsid w:val="4C7958ED"/>
    <w:rsid w:val="4CBB5F06"/>
    <w:rsid w:val="4D2E66D8"/>
    <w:rsid w:val="4D3161C8"/>
    <w:rsid w:val="4D3637DE"/>
    <w:rsid w:val="4D447CA9"/>
    <w:rsid w:val="4D826A23"/>
    <w:rsid w:val="4D8D78A2"/>
    <w:rsid w:val="4D901140"/>
    <w:rsid w:val="4D9724CF"/>
    <w:rsid w:val="4D9D385D"/>
    <w:rsid w:val="4DA8648A"/>
    <w:rsid w:val="4DAD5C97"/>
    <w:rsid w:val="4DE60D60"/>
    <w:rsid w:val="4E355844"/>
    <w:rsid w:val="4E497915"/>
    <w:rsid w:val="4E5E4D9B"/>
    <w:rsid w:val="4E6A7BE3"/>
    <w:rsid w:val="4E712D20"/>
    <w:rsid w:val="4E7F6FD1"/>
    <w:rsid w:val="4E870795"/>
    <w:rsid w:val="4E9C58C3"/>
    <w:rsid w:val="4EAD5D22"/>
    <w:rsid w:val="4ECF7A46"/>
    <w:rsid w:val="4EFE074A"/>
    <w:rsid w:val="4F08158A"/>
    <w:rsid w:val="4F0E056F"/>
    <w:rsid w:val="4F275AD4"/>
    <w:rsid w:val="4F31425D"/>
    <w:rsid w:val="4F797711"/>
    <w:rsid w:val="4F7D74A2"/>
    <w:rsid w:val="4FB1539E"/>
    <w:rsid w:val="4FDD43E5"/>
    <w:rsid w:val="4FFD05E3"/>
    <w:rsid w:val="50146059"/>
    <w:rsid w:val="502E69EF"/>
    <w:rsid w:val="504D156B"/>
    <w:rsid w:val="5076286F"/>
    <w:rsid w:val="50A53155"/>
    <w:rsid w:val="50A626EC"/>
    <w:rsid w:val="50B25872"/>
    <w:rsid w:val="50BC3FFA"/>
    <w:rsid w:val="50D2381E"/>
    <w:rsid w:val="50F11EF6"/>
    <w:rsid w:val="510A2FB8"/>
    <w:rsid w:val="5119144D"/>
    <w:rsid w:val="51363DAD"/>
    <w:rsid w:val="513E2C61"/>
    <w:rsid w:val="516E1744"/>
    <w:rsid w:val="51791EEB"/>
    <w:rsid w:val="519B6306"/>
    <w:rsid w:val="51AC22C1"/>
    <w:rsid w:val="51BA2C30"/>
    <w:rsid w:val="521D4F6D"/>
    <w:rsid w:val="521F6F37"/>
    <w:rsid w:val="522B1438"/>
    <w:rsid w:val="523429E2"/>
    <w:rsid w:val="523A5B1F"/>
    <w:rsid w:val="52500E9E"/>
    <w:rsid w:val="525F10E1"/>
    <w:rsid w:val="52734B8D"/>
    <w:rsid w:val="52770B21"/>
    <w:rsid w:val="527B23BF"/>
    <w:rsid w:val="52860D64"/>
    <w:rsid w:val="528C45CC"/>
    <w:rsid w:val="52946FDD"/>
    <w:rsid w:val="52A80CDA"/>
    <w:rsid w:val="52B61649"/>
    <w:rsid w:val="52BE22AC"/>
    <w:rsid w:val="52C13B4A"/>
    <w:rsid w:val="52E00474"/>
    <w:rsid w:val="52E635B0"/>
    <w:rsid w:val="530103EA"/>
    <w:rsid w:val="53105D4A"/>
    <w:rsid w:val="53165C44"/>
    <w:rsid w:val="53220A8C"/>
    <w:rsid w:val="5322283B"/>
    <w:rsid w:val="532C5467"/>
    <w:rsid w:val="533C1422"/>
    <w:rsid w:val="533E519B"/>
    <w:rsid w:val="53590226"/>
    <w:rsid w:val="53874D93"/>
    <w:rsid w:val="53AE40CE"/>
    <w:rsid w:val="53B37737"/>
    <w:rsid w:val="53C47D96"/>
    <w:rsid w:val="53DB6E8D"/>
    <w:rsid w:val="53F94B0A"/>
    <w:rsid w:val="544762D1"/>
    <w:rsid w:val="544B7B6F"/>
    <w:rsid w:val="54560EE2"/>
    <w:rsid w:val="546724CF"/>
    <w:rsid w:val="546D3F89"/>
    <w:rsid w:val="54741F25"/>
    <w:rsid w:val="54745318"/>
    <w:rsid w:val="54A138D3"/>
    <w:rsid w:val="54AD75F7"/>
    <w:rsid w:val="54AF45A2"/>
    <w:rsid w:val="54C53DC5"/>
    <w:rsid w:val="54D97871"/>
    <w:rsid w:val="550B72FE"/>
    <w:rsid w:val="552C5E92"/>
    <w:rsid w:val="55A21A11"/>
    <w:rsid w:val="55C23E61"/>
    <w:rsid w:val="55E726AA"/>
    <w:rsid w:val="56037855"/>
    <w:rsid w:val="56102E1E"/>
    <w:rsid w:val="56255C12"/>
    <w:rsid w:val="562763BA"/>
    <w:rsid w:val="562E3666"/>
    <w:rsid w:val="564E1B99"/>
    <w:rsid w:val="565847C5"/>
    <w:rsid w:val="56764C4B"/>
    <w:rsid w:val="567809C3"/>
    <w:rsid w:val="56850DFC"/>
    <w:rsid w:val="56861332"/>
    <w:rsid w:val="56BE6D1E"/>
    <w:rsid w:val="56C854A7"/>
    <w:rsid w:val="56E10C5F"/>
    <w:rsid w:val="56F02C50"/>
    <w:rsid w:val="56FE711B"/>
    <w:rsid w:val="570606C5"/>
    <w:rsid w:val="572E39BC"/>
    <w:rsid w:val="57650F48"/>
    <w:rsid w:val="57770C7B"/>
    <w:rsid w:val="57911D3D"/>
    <w:rsid w:val="5794182D"/>
    <w:rsid w:val="58030761"/>
    <w:rsid w:val="58301BAD"/>
    <w:rsid w:val="5847689F"/>
    <w:rsid w:val="58501BF8"/>
    <w:rsid w:val="5855720E"/>
    <w:rsid w:val="585B234B"/>
    <w:rsid w:val="585F008D"/>
    <w:rsid w:val="58615813"/>
    <w:rsid w:val="589C4E3D"/>
    <w:rsid w:val="58BA0C9F"/>
    <w:rsid w:val="58BF6D7E"/>
    <w:rsid w:val="58E30CBE"/>
    <w:rsid w:val="58E467E4"/>
    <w:rsid w:val="59352B9C"/>
    <w:rsid w:val="594A5A76"/>
    <w:rsid w:val="59701E26"/>
    <w:rsid w:val="59A35477"/>
    <w:rsid w:val="59B14918"/>
    <w:rsid w:val="59C636E9"/>
    <w:rsid w:val="59F91E1B"/>
    <w:rsid w:val="5A0A5DD6"/>
    <w:rsid w:val="5A137381"/>
    <w:rsid w:val="5A1629CD"/>
    <w:rsid w:val="5A1B6236"/>
    <w:rsid w:val="5A2E41BB"/>
    <w:rsid w:val="5A4532B2"/>
    <w:rsid w:val="5A4F5EDF"/>
    <w:rsid w:val="5A581238"/>
    <w:rsid w:val="5A690D4F"/>
    <w:rsid w:val="5A7871E4"/>
    <w:rsid w:val="5A8738CB"/>
    <w:rsid w:val="5AB81CD6"/>
    <w:rsid w:val="5ABA15AB"/>
    <w:rsid w:val="5AD14B46"/>
    <w:rsid w:val="5AD3266C"/>
    <w:rsid w:val="5B044F1C"/>
    <w:rsid w:val="5B0E7B48"/>
    <w:rsid w:val="5B12588A"/>
    <w:rsid w:val="5B215ACE"/>
    <w:rsid w:val="5B413A7A"/>
    <w:rsid w:val="5B6360E6"/>
    <w:rsid w:val="5B6F6839"/>
    <w:rsid w:val="5BBD57F6"/>
    <w:rsid w:val="5BE32D83"/>
    <w:rsid w:val="5BF46D3E"/>
    <w:rsid w:val="5C381321"/>
    <w:rsid w:val="5C7B745F"/>
    <w:rsid w:val="5C7D31D8"/>
    <w:rsid w:val="5C844566"/>
    <w:rsid w:val="5C902F0B"/>
    <w:rsid w:val="5C9522CF"/>
    <w:rsid w:val="5C9A78E6"/>
    <w:rsid w:val="5C9B365E"/>
    <w:rsid w:val="5CB32755"/>
    <w:rsid w:val="5CB62246"/>
    <w:rsid w:val="5CBD1826"/>
    <w:rsid w:val="5CC46711"/>
    <w:rsid w:val="5CED5325"/>
    <w:rsid w:val="5D215911"/>
    <w:rsid w:val="5D347D3A"/>
    <w:rsid w:val="5D6D0B56"/>
    <w:rsid w:val="5D924A61"/>
    <w:rsid w:val="5DAA7FFC"/>
    <w:rsid w:val="5DC82230"/>
    <w:rsid w:val="5E1B2CA8"/>
    <w:rsid w:val="5E282CCF"/>
    <w:rsid w:val="5E3E24F3"/>
    <w:rsid w:val="5E4C10B3"/>
    <w:rsid w:val="5E587A58"/>
    <w:rsid w:val="5E5B4E53"/>
    <w:rsid w:val="5E775F15"/>
    <w:rsid w:val="5E806DB9"/>
    <w:rsid w:val="5E9F5687"/>
    <w:rsid w:val="5EA70098"/>
    <w:rsid w:val="5ED864A3"/>
    <w:rsid w:val="5EFD0600"/>
    <w:rsid w:val="5F0E45BB"/>
    <w:rsid w:val="5F2B6F1B"/>
    <w:rsid w:val="5F357D99"/>
    <w:rsid w:val="5F3F4774"/>
    <w:rsid w:val="5F4B3119"/>
    <w:rsid w:val="5F6E0BB6"/>
    <w:rsid w:val="5F7A39FE"/>
    <w:rsid w:val="5FB07420"/>
    <w:rsid w:val="5FEF619A"/>
    <w:rsid w:val="6017749F"/>
    <w:rsid w:val="605204D7"/>
    <w:rsid w:val="60575AEE"/>
    <w:rsid w:val="607D5554"/>
    <w:rsid w:val="60BC0AF8"/>
    <w:rsid w:val="60C767CF"/>
    <w:rsid w:val="60E03D35"/>
    <w:rsid w:val="60EE1FAE"/>
    <w:rsid w:val="60F4333C"/>
    <w:rsid w:val="614328A6"/>
    <w:rsid w:val="61891CD7"/>
    <w:rsid w:val="618F19E3"/>
    <w:rsid w:val="61BA4586"/>
    <w:rsid w:val="61CA2A1B"/>
    <w:rsid w:val="61D45648"/>
    <w:rsid w:val="61DA2E84"/>
    <w:rsid w:val="61F07FA8"/>
    <w:rsid w:val="61F335F4"/>
    <w:rsid w:val="61FB0E26"/>
    <w:rsid w:val="6200643D"/>
    <w:rsid w:val="6208709F"/>
    <w:rsid w:val="620A1069"/>
    <w:rsid w:val="621A6DD3"/>
    <w:rsid w:val="62233ED9"/>
    <w:rsid w:val="62970423"/>
    <w:rsid w:val="62A3501A"/>
    <w:rsid w:val="62CA6A4B"/>
    <w:rsid w:val="62D358FF"/>
    <w:rsid w:val="62EA49F7"/>
    <w:rsid w:val="62F15D85"/>
    <w:rsid w:val="62FB09B2"/>
    <w:rsid w:val="63950E07"/>
    <w:rsid w:val="639B1BC7"/>
    <w:rsid w:val="63AE3C76"/>
    <w:rsid w:val="63D23E09"/>
    <w:rsid w:val="63F35B2D"/>
    <w:rsid w:val="63F57AF7"/>
    <w:rsid w:val="6428783F"/>
    <w:rsid w:val="64371EBE"/>
    <w:rsid w:val="644E3394"/>
    <w:rsid w:val="64754794"/>
    <w:rsid w:val="647924D6"/>
    <w:rsid w:val="64942E6C"/>
    <w:rsid w:val="64B11C70"/>
    <w:rsid w:val="64B13A1E"/>
    <w:rsid w:val="64B17EC2"/>
    <w:rsid w:val="64E02555"/>
    <w:rsid w:val="64E96674"/>
    <w:rsid w:val="64EF09EB"/>
    <w:rsid w:val="651421FF"/>
    <w:rsid w:val="65273CE0"/>
    <w:rsid w:val="655E314D"/>
    <w:rsid w:val="65640A91"/>
    <w:rsid w:val="656C3DE9"/>
    <w:rsid w:val="657607C4"/>
    <w:rsid w:val="65962C14"/>
    <w:rsid w:val="65AD68DC"/>
    <w:rsid w:val="65D976D1"/>
    <w:rsid w:val="66246472"/>
    <w:rsid w:val="668F7D8F"/>
    <w:rsid w:val="6695111E"/>
    <w:rsid w:val="66AF0431"/>
    <w:rsid w:val="66B141AA"/>
    <w:rsid w:val="66D648CB"/>
    <w:rsid w:val="66F75934"/>
    <w:rsid w:val="66F81DD8"/>
    <w:rsid w:val="671E44FE"/>
    <w:rsid w:val="672C7CD4"/>
    <w:rsid w:val="673F517A"/>
    <w:rsid w:val="675773BD"/>
    <w:rsid w:val="67674868"/>
    <w:rsid w:val="678E44EB"/>
    <w:rsid w:val="67955879"/>
    <w:rsid w:val="67AE693B"/>
    <w:rsid w:val="67CA4DF7"/>
    <w:rsid w:val="68100B79"/>
    <w:rsid w:val="68190258"/>
    <w:rsid w:val="68246BFD"/>
    <w:rsid w:val="68444BA9"/>
    <w:rsid w:val="684828EC"/>
    <w:rsid w:val="684F3092"/>
    <w:rsid w:val="686D2352"/>
    <w:rsid w:val="686E1C26"/>
    <w:rsid w:val="689618A9"/>
    <w:rsid w:val="689E42BA"/>
    <w:rsid w:val="68A33FC6"/>
    <w:rsid w:val="68AF6D2D"/>
    <w:rsid w:val="68E00D76"/>
    <w:rsid w:val="68E85E7D"/>
    <w:rsid w:val="68F55EA4"/>
    <w:rsid w:val="69076303"/>
    <w:rsid w:val="692844CB"/>
    <w:rsid w:val="69643755"/>
    <w:rsid w:val="697B45FB"/>
    <w:rsid w:val="698536CB"/>
    <w:rsid w:val="698C4A5A"/>
    <w:rsid w:val="6998062A"/>
    <w:rsid w:val="69CC12FA"/>
    <w:rsid w:val="69F10D61"/>
    <w:rsid w:val="6A2829D5"/>
    <w:rsid w:val="6A4E7F61"/>
    <w:rsid w:val="6A6B28C1"/>
    <w:rsid w:val="6A845731"/>
    <w:rsid w:val="6A9A6B35"/>
    <w:rsid w:val="6A9E2C97"/>
    <w:rsid w:val="6AA67D9D"/>
    <w:rsid w:val="6ADF0BB9"/>
    <w:rsid w:val="6B0A39EF"/>
    <w:rsid w:val="6B113469"/>
    <w:rsid w:val="6B146AB5"/>
    <w:rsid w:val="6B2313EE"/>
    <w:rsid w:val="6B431148"/>
    <w:rsid w:val="6B67752D"/>
    <w:rsid w:val="6B76151E"/>
    <w:rsid w:val="6B8057C9"/>
    <w:rsid w:val="6B824366"/>
    <w:rsid w:val="6B8579B3"/>
    <w:rsid w:val="6BAF4A30"/>
    <w:rsid w:val="6BB16D9C"/>
    <w:rsid w:val="6BC93D43"/>
    <w:rsid w:val="6BD33049"/>
    <w:rsid w:val="6BF95CAB"/>
    <w:rsid w:val="6C054650"/>
    <w:rsid w:val="6C103720"/>
    <w:rsid w:val="6C2216A6"/>
    <w:rsid w:val="6C3F7B62"/>
    <w:rsid w:val="6C506E1D"/>
    <w:rsid w:val="6C6677E4"/>
    <w:rsid w:val="6C6B4DFB"/>
    <w:rsid w:val="6CA13611"/>
    <w:rsid w:val="6CB82147"/>
    <w:rsid w:val="6CCB7647"/>
    <w:rsid w:val="6D142D9C"/>
    <w:rsid w:val="6D371181"/>
    <w:rsid w:val="6D4F4286"/>
    <w:rsid w:val="6D513FF0"/>
    <w:rsid w:val="6D631F76"/>
    <w:rsid w:val="6DAD31F1"/>
    <w:rsid w:val="6DC04CD2"/>
    <w:rsid w:val="6DDD5884"/>
    <w:rsid w:val="6DDF784E"/>
    <w:rsid w:val="6E0E3AE0"/>
    <w:rsid w:val="6E3D6323"/>
    <w:rsid w:val="6E565636"/>
    <w:rsid w:val="6E647D53"/>
    <w:rsid w:val="6E7B6E4B"/>
    <w:rsid w:val="6E7D0F26"/>
    <w:rsid w:val="6EA97E5C"/>
    <w:rsid w:val="6EAE0FCF"/>
    <w:rsid w:val="6EE26F67"/>
    <w:rsid w:val="6EED1AF7"/>
    <w:rsid w:val="6F060E8D"/>
    <w:rsid w:val="6F285225"/>
    <w:rsid w:val="6F2A2D4B"/>
    <w:rsid w:val="6F2B3600"/>
    <w:rsid w:val="6F2F0361"/>
    <w:rsid w:val="6F437969"/>
    <w:rsid w:val="6F525DFE"/>
    <w:rsid w:val="6F72024E"/>
    <w:rsid w:val="6F800BBD"/>
    <w:rsid w:val="6F806E0F"/>
    <w:rsid w:val="6F82425A"/>
    <w:rsid w:val="6F914B78"/>
    <w:rsid w:val="6F9E7295"/>
    <w:rsid w:val="6FAC7C04"/>
    <w:rsid w:val="6FAD1286"/>
    <w:rsid w:val="6FAF4FFE"/>
    <w:rsid w:val="70027824"/>
    <w:rsid w:val="70034086"/>
    <w:rsid w:val="700A492A"/>
    <w:rsid w:val="702459EC"/>
    <w:rsid w:val="702E23C7"/>
    <w:rsid w:val="707324D0"/>
    <w:rsid w:val="708E659F"/>
    <w:rsid w:val="70A1528F"/>
    <w:rsid w:val="70B86135"/>
    <w:rsid w:val="70CD6084"/>
    <w:rsid w:val="71066EA0"/>
    <w:rsid w:val="710B44B6"/>
    <w:rsid w:val="710B6BAC"/>
    <w:rsid w:val="71213CDA"/>
    <w:rsid w:val="7128150C"/>
    <w:rsid w:val="71347EB1"/>
    <w:rsid w:val="7150636D"/>
    <w:rsid w:val="71900E5F"/>
    <w:rsid w:val="719C15B2"/>
    <w:rsid w:val="71A16BC9"/>
    <w:rsid w:val="71AC3EEB"/>
    <w:rsid w:val="71BB2380"/>
    <w:rsid w:val="71BF741F"/>
    <w:rsid w:val="71C034F3"/>
    <w:rsid w:val="71C50B09"/>
    <w:rsid w:val="71EA0570"/>
    <w:rsid w:val="71F94C57"/>
    <w:rsid w:val="720C2BDC"/>
    <w:rsid w:val="720F6228"/>
    <w:rsid w:val="72253C9E"/>
    <w:rsid w:val="722C2936"/>
    <w:rsid w:val="723914F7"/>
    <w:rsid w:val="726C5429"/>
    <w:rsid w:val="72DA6836"/>
    <w:rsid w:val="72DD2697"/>
    <w:rsid w:val="72E15E16"/>
    <w:rsid w:val="72FF44EF"/>
    <w:rsid w:val="731A6C33"/>
    <w:rsid w:val="731E2BC7"/>
    <w:rsid w:val="734B14E2"/>
    <w:rsid w:val="73520AC2"/>
    <w:rsid w:val="739E1612"/>
    <w:rsid w:val="73A56E44"/>
    <w:rsid w:val="73A6496A"/>
    <w:rsid w:val="73C92407"/>
    <w:rsid w:val="743106D8"/>
    <w:rsid w:val="74565543"/>
    <w:rsid w:val="746E36DA"/>
    <w:rsid w:val="74746816"/>
    <w:rsid w:val="74795BDB"/>
    <w:rsid w:val="747D391D"/>
    <w:rsid w:val="748702F8"/>
    <w:rsid w:val="74933140"/>
    <w:rsid w:val="74CC21AE"/>
    <w:rsid w:val="74D3178F"/>
    <w:rsid w:val="74D80B53"/>
    <w:rsid w:val="751002ED"/>
    <w:rsid w:val="753E755B"/>
    <w:rsid w:val="75840CDB"/>
    <w:rsid w:val="75882579"/>
    <w:rsid w:val="75894543"/>
    <w:rsid w:val="75A42643"/>
    <w:rsid w:val="75F75951"/>
    <w:rsid w:val="760D0CD1"/>
    <w:rsid w:val="76465F91"/>
    <w:rsid w:val="765468FF"/>
    <w:rsid w:val="765608C9"/>
    <w:rsid w:val="76695304"/>
    <w:rsid w:val="769F401E"/>
    <w:rsid w:val="76DD5DD5"/>
    <w:rsid w:val="76E2215D"/>
    <w:rsid w:val="76F459ED"/>
    <w:rsid w:val="76FE0FDF"/>
    <w:rsid w:val="772946DD"/>
    <w:rsid w:val="77416E84"/>
    <w:rsid w:val="77846D70"/>
    <w:rsid w:val="7789252F"/>
    <w:rsid w:val="779A6594"/>
    <w:rsid w:val="77AD4519"/>
    <w:rsid w:val="77AE3DED"/>
    <w:rsid w:val="77B37656"/>
    <w:rsid w:val="77B838F5"/>
    <w:rsid w:val="77E3618D"/>
    <w:rsid w:val="77FE499D"/>
    <w:rsid w:val="780F6F82"/>
    <w:rsid w:val="78215FA8"/>
    <w:rsid w:val="786A065C"/>
    <w:rsid w:val="786D3CA8"/>
    <w:rsid w:val="78774B27"/>
    <w:rsid w:val="787C23D5"/>
    <w:rsid w:val="788A03B6"/>
    <w:rsid w:val="788A2AAC"/>
    <w:rsid w:val="78A3591C"/>
    <w:rsid w:val="78EE303B"/>
    <w:rsid w:val="790E2D96"/>
    <w:rsid w:val="79116D2A"/>
    <w:rsid w:val="791D56CF"/>
    <w:rsid w:val="791E4FA3"/>
    <w:rsid w:val="793622EC"/>
    <w:rsid w:val="793A002E"/>
    <w:rsid w:val="793D7B1F"/>
    <w:rsid w:val="79751067"/>
    <w:rsid w:val="797954A4"/>
    <w:rsid w:val="798B6ADC"/>
    <w:rsid w:val="79A64023"/>
    <w:rsid w:val="79AB4A88"/>
    <w:rsid w:val="79BA3507"/>
    <w:rsid w:val="79CE4C1B"/>
    <w:rsid w:val="79D0629D"/>
    <w:rsid w:val="79E955B1"/>
    <w:rsid w:val="79F503F9"/>
    <w:rsid w:val="7A044199"/>
    <w:rsid w:val="7A066163"/>
    <w:rsid w:val="7A3C7DD6"/>
    <w:rsid w:val="7A635363"/>
    <w:rsid w:val="7A8D418E"/>
    <w:rsid w:val="7A923E9A"/>
    <w:rsid w:val="7AB23BF5"/>
    <w:rsid w:val="7AB931D5"/>
    <w:rsid w:val="7AC104DD"/>
    <w:rsid w:val="7AC34054"/>
    <w:rsid w:val="7AC57DCC"/>
    <w:rsid w:val="7B000E04"/>
    <w:rsid w:val="7B02692A"/>
    <w:rsid w:val="7B3A2568"/>
    <w:rsid w:val="7B5B0730"/>
    <w:rsid w:val="7B767ECE"/>
    <w:rsid w:val="7BB10350"/>
    <w:rsid w:val="7BC6204D"/>
    <w:rsid w:val="7BDD2EF3"/>
    <w:rsid w:val="7BF00E78"/>
    <w:rsid w:val="7C0D37D8"/>
    <w:rsid w:val="7C232FFC"/>
    <w:rsid w:val="7C480CB4"/>
    <w:rsid w:val="7C4E5B9F"/>
    <w:rsid w:val="7C52568F"/>
    <w:rsid w:val="7C5E5DE2"/>
    <w:rsid w:val="7CA664A4"/>
    <w:rsid w:val="7CC16371"/>
    <w:rsid w:val="7CC540B3"/>
    <w:rsid w:val="7CDC31AB"/>
    <w:rsid w:val="7CEC7892"/>
    <w:rsid w:val="7CED53B8"/>
    <w:rsid w:val="7D250FF6"/>
    <w:rsid w:val="7D2C7C8E"/>
    <w:rsid w:val="7D6065E3"/>
    <w:rsid w:val="7D641B1E"/>
    <w:rsid w:val="7D6C452F"/>
    <w:rsid w:val="7D717D97"/>
    <w:rsid w:val="7D9D293A"/>
    <w:rsid w:val="7DAF266D"/>
    <w:rsid w:val="7DB163E5"/>
    <w:rsid w:val="7DE844FD"/>
    <w:rsid w:val="7DED1B13"/>
    <w:rsid w:val="7E093DAF"/>
    <w:rsid w:val="7E154BC6"/>
    <w:rsid w:val="7E2766A8"/>
    <w:rsid w:val="7E2D1F10"/>
    <w:rsid w:val="7E3C65F7"/>
    <w:rsid w:val="7E573431"/>
    <w:rsid w:val="7E5C45A3"/>
    <w:rsid w:val="7E7F0292"/>
    <w:rsid w:val="7E9C52E7"/>
    <w:rsid w:val="7EAF0B77"/>
    <w:rsid w:val="7EBA751C"/>
    <w:rsid w:val="7EBE0DBA"/>
    <w:rsid w:val="7EC051F5"/>
    <w:rsid w:val="7EC50112"/>
    <w:rsid w:val="7EDA7510"/>
    <w:rsid w:val="7EF02F3D"/>
    <w:rsid w:val="7F032C71"/>
    <w:rsid w:val="7F364DF4"/>
    <w:rsid w:val="7F3948E4"/>
    <w:rsid w:val="7F4C0ABC"/>
    <w:rsid w:val="7F590A06"/>
    <w:rsid w:val="7F590AE3"/>
    <w:rsid w:val="7F5931D8"/>
    <w:rsid w:val="7F596D35"/>
    <w:rsid w:val="7F5C42F5"/>
    <w:rsid w:val="7F605BCC"/>
    <w:rsid w:val="7F6F6558"/>
    <w:rsid w:val="7F9A6E29"/>
    <w:rsid w:val="7FD50AB1"/>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textAlignment w:val="baseline"/>
    </w:pPr>
    <w:rPr>
      <w:kern w:val="0"/>
      <w:sz w:val="24"/>
    </w:rPr>
  </w:style>
  <w:style w:type="paragraph" w:styleId="5">
    <w:name w:val="caption"/>
    <w:basedOn w:val="1"/>
    <w:next w:val="1"/>
    <w:autoRedefine/>
    <w:qFormat/>
    <w:uiPriority w:val="0"/>
    <w:rPr>
      <w:rFonts w:ascii="Cambria" w:hAnsi="Cambria" w:eastAsia="黑体"/>
      <w:sz w:val="20"/>
      <w:szCs w:val="20"/>
    </w:rPr>
  </w:style>
  <w:style w:type="paragraph" w:styleId="6">
    <w:name w:val="Body Text"/>
    <w:basedOn w:val="1"/>
    <w:next w:val="7"/>
    <w:autoRedefine/>
    <w:qFormat/>
    <w:uiPriority w:val="99"/>
    <w:pPr>
      <w:spacing w:after="120"/>
    </w:pPr>
  </w:style>
  <w:style w:type="paragraph" w:styleId="7">
    <w:name w:val="Body Text 2"/>
    <w:basedOn w:val="1"/>
    <w:autoRedefine/>
    <w:qFormat/>
    <w:uiPriority w:val="0"/>
    <w:pPr>
      <w:spacing w:after="120" w:line="480" w:lineRule="auto"/>
    </w:pPr>
    <w:rPr>
      <w:kern w:val="1"/>
    </w:rPr>
  </w:style>
  <w:style w:type="paragraph" w:styleId="8">
    <w:name w:val="Body Text Indent"/>
    <w:basedOn w:val="1"/>
    <w:autoRedefine/>
    <w:qFormat/>
    <w:uiPriority w:val="0"/>
    <w:pPr>
      <w:spacing w:line="360" w:lineRule="exact"/>
      <w:ind w:left="-527" w:firstLine="526" w:firstLineChars="219"/>
    </w:pPr>
    <w:rPr>
      <w:sz w:val="24"/>
    </w:rPr>
  </w:style>
  <w:style w:type="paragraph" w:styleId="9">
    <w:name w:val="Date"/>
    <w:basedOn w:val="1"/>
    <w:next w:val="1"/>
    <w:autoRedefine/>
    <w:qFormat/>
    <w:uiPriority w:val="0"/>
    <w:pPr>
      <w:ind w:left="100" w:leftChars="2500"/>
    </w:pPr>
  </w:style>
  <w:style w:type="paragraph" w:styleId="10">
    <w:name w:val="Balloon Text"/>
    <w:basedOn w:val="1"/>
    <w:link w:val="20"/>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4"/>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
    <w:basedOn w:val="1"/>
    <w:autoRedefine/>
    <w:qFormat/>
    <w:uiPriority w:val="0"/>
    <w:rPr>
      <w:rFonts w:ascii="宋体" w:hAnsi="宋体"/>
      <w:kern w:val="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节1"/>
    <w:basedOn w:val="1"/>
    <w:autoRedefine/>
    <w:qFormat/>
    <w:uiPriority w:val="99"/>
    <w:pPr>
      <w:snapToGrid w:val="0"/>
      <w:spacing w:before="120" w:after="120" w:line="312" w:lineRule="auto"/>
      <w:ind w:firstLine="567"/>
    </w:pPr>
    <w:rPr>
      <w:rFonts w:ascii="宋体"/>
      <w:b/>
      <w:bCs/>
      <w:spacing w:val="6"/>
      <w:sz w:val="32"/>
    </w:rPr>
  </w:style>
  <w:style w:type="paragraph" w:customStyle="1" w:styleId="19">
    <w:name w:val="+正文 Char Char Char"/>
    <w:basedOn w:val="1"/>
    <w:autoRedefine/>
    <w:qFormat/>
    <w:uiPriority w:val="0"/>
    <w:pPr>
      <w:ind w:firstLine="200" w:firstLineChars="200"/>
    </w:pPr>
    <w:rPr>
      <w:sz w:val="24"/>
    </w:rPr>
  </w:style>
  <w:style w:type="character" w:customStyle="1" w:styleId="20">
    <w:name w:val="批注框文本 Char"/>
    <w:basedOn w:val="17"/>
    <w:link w:val="10"/>
    <w:autoRedefine/>
    <w:qFormat/>
    <w:uiPriority w:val="0"/>
    <w:rPr>
      <w:rFonts w:ascii="Times New Roman" w:hAnsi="Times New Roman"/>
      <w:kern w:val="2"/>
      <w:sz w:val="18"/>
      <w:szCs w:val="18"/>
    </w:rPr>
  </w:style>
  <w:style w:type="character" w:customStyle="1" w:styleId="21">
    <w:name w:val="font21"/>
    <w:basedOn w:val="17"/>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18436</Words>
  <Characters>22156</Characters>
  <Lines>9</Lines>
  <Paragraphs>15</Paragraphs>
  <TotalTime>4</TotalTime>
  <ScaleCrop>false</ScaleCrop>
  <LinksUpToDate>false</LinksUpToDate>
  <CharactersWithSpaces>22925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2022-07-06T01:30:00Z</dcterms:created>
  <dc:creator>缔逸招投标一</dc:creator>
  <cp:lastModifiedBy>cc臣臣麻麻</cp:lastModifiedBy>
  <cp:lastPrinted>2024-09-05T08:01:00Z</cp:lastPrinted>
  <dcterms:modified xsi:type="dcterms:W3CDTF">2024-12-09T01:54:43Z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19B2C18906E045F6BF20372B7FD8F98B_13</vt:lpwstr>
  </property>
</Properties>
</file>