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eastAsiaTheme="minorEastAsia"/>
          <w:b/>
          <w:spacing w:val="20"/>
          <w:sz w:val="44"/>
          <w:szCs w:val="44"/>
        </w:rPr>
      </w:pPr>
      <w:r>
        <w:rPr>
          <w:rFonts w:hint="eastAsia" w:asciiTheme="minorEastAsia" w:hAnsiTheme="minorEastAsia" w:eastAsiaTheme="minorEastAsia"/>
          <w:b/>
          <w:spacing w:val="20"/>
          <w:sz w:val="44"/>
          <w:szCs w:val="44"/>
        </w:rPr>
        <w:t>招标邀请函</w:t>
      </w:r>
    </w:p>
    <w:p>
      <w:pPr>
        <w:spacing w:line="400" w:lineRule="exact"/>
        <w:jc w:val="center"/>
        <w:rPr>
          <w:rFonts w:asciiTheme="minorEastAsia" w:hAnsiTheme="minorEastAsia" w:eastAsiaTheme="minorEastAsia"/>
          <w:b/>
          <w:spacing w:val="20"/>
          <w:sz w:val="28"/>
          <w:szCs w:val="28"/>
        </w:rPr>
      </w:pPr>
    </w:p>
    <w:p>
      <w:pPr>
        <w:snapToGrid w:val="0"/>
        <w:spacing w:line="560" w:lineRule="exac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我公司</w:t>
      </w:r>
      <w:r>
        <w:rPr>
          <w:rFonts w:hint="eastAsia" w:asciiTheme="minorEastAsia" w:hAnsiTheme="minorEastAsia" w:eastAsiaTheme="minorEastAsia"/>
          <w:b/>
          <w:sz w:val="28"/>
          <w:szCs w:val="28"/>
          <w:u w:val="single"/>
        </w:rPr>
        <w:t>地面水厂二泵房</w:t>
      </w:r>
      <w:r>
        <w:rPr>
          <w:rFonts w:hint="eastAsia" w:asciiTheme="minorEastAsia" w:hAnsiTheme="minorEastAsia" w:eastAsiaTheme="minorEastAsia"/>
          <w:sz w:val="28"/>
          <w:szCs w:val="28"/>
        </w:rPr>
        <w:t>的</w:t>
      </w:r>
      <w:r>
        <w:rPr>
          <w:rFonts w:hint="eastAsia" w:asciiTheme="minorEastAsia" w:hAnsiTheme="minorEastAsia" w:eastAsiaTheme="minorEastAsia"/>
          <w:b/>
          <w:bCs/>
          <w:sz w:val="28"/>
          <w:szCs w:val="28"/>
          <w:u w:val="single"/>
        </w:rPr>
        <w:t>一号和三号DN800阀门电动启闭装置采购</w:t>
      </w:r>
      <w:r>
        <w:rPr>
          <w:rFonts w:hint="eastAsia" w:asciiTheme="minorEastAsia" w:hAnsiTheme="minorEastAsia" w:eastAsiaTheme="minorEastAsia"/>
          <w:sz w:val="28"/>
          <w:szCs w:val="28"/>
        </w:rPr>
        <w:t>已经批准实施，现决定对该项目进行内部邀请招标，选定承包人。</w:t>
      </w:r>
    </w:p>
    <w:p>
      <w:pPr>
        <w:tabs>
          <w:tab w:val="left" w:pos="567"/>
        </w:tabs>
        <w:snapToGrid w:val="0"/>
        <w:spacing w:line="560" w:lineRule="exact"/>
        <w:ind w:firstLine="281" w:firstLineChars="100"/>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一、项目概况</w:t>
      </w:r>
    </w:p>
    <w:p>
      <w:pPr>
        <w:snapToGrid w:val="0"/>
        <w:spacing w:line="560" w:lineRule="exact"/>
        <w:ind w:firstLine="420" w:firstLineChars="15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（1）项目地点：启东市自来水厂有限公司地面水厂</w:t>
      </w:r>
      <w:r>
        <w:rPr>
          <w:rFonts w:hint="eastAsia" w:asciiTheme="minorEastAsia" w:hAnsiTheme="minorEastAsia" w:eastAsiaTheme="minorEastAsia"/>
          <w:sz w:val="28"/>
          <w:szCs w:val="28"/>
          <w:lang w:val="en-US" w:eastAsia="zh-CN"/>
        </w:rPr>
        <w:t>二泵房</w:t>
      </w:r>
    </w:p>
    <w:p>
      <w:pPr>
        <w:snapToGrid w:val="0"/>
        <w:spacing w:line="560" w:lineRule="exac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（2）项目规模：估算投资约14万元。</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3）项目周期：中标公告发布后三日内签订合同，供应商合同签订后，接采购单位的书面通知60日历天内完成供货及安装，若供应商未按照合同约定时间交货的，且未及时以书面形式向采购人提交延误原因，又无正当理由的，每推迟一天罚3000元，推迟7天及以上的则采购单位有权罚没所有履约保证金。</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（4）质量要求：供应商须提供符合采购需求、从未使用过的全新设备，产品质量符合邀请文件要求、行业及国家标准（供货时提供相关证明材料、有效产品合格证），经试运行满足使用要求并最终验收合格。</w:t>
      </w:r>
    </w:p>
    <w:p>
      <w:pPr>
        <w:widowControl/>
        <w:spacing w:line="560" w:lineRule="exact"/>
        <w:ind w:firstLine="420"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质保、售后服务要求：</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质保要求：本项目所有货物必须提供</w:t>
      </w:r>
      <w:r>
        <w:rPr>
          <w:rFonts w:hint="eastAsia" w:asciiTheme="minorEastAsia" w:hAnsiTheme="minorEastAsia" w:eastAsiaTheme="minorEastAsia"/>
          <w:b/>
          <w:sz w:val="28"/>
          <w:szCs w:val="28"/>
          <w:u w:val="single"/>
        </w:rPr>
        <w:t>二年</w:t>
      </w:r>
      <w:r>
        <w:rPr>
          <w:rFonts w:hint="eastAsia" w:asciiTheme="minorEastAsia" w:hAnsiTheme="minorEastAsia" w:eastAsiaTheme="minorEastAsia"/>
          <w:sz w:val="28"/>
          <w:szCs w:val="28"/>
        </w:rPr>
        <w:t>全免费质保（配件+人工）及售后服务。质保期内成交供应商应免费维修，质保期外的维修收费按国家和供应商的相关规定办理。所有设备质保时间为自验收合格之日起计。</w:t>
      </w:r>
    </w:p>
    <w:p>
      <w:pPr>
        <w:widowControl/>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售后服务要求：在质保期内，同一商品、同一质量问题连续两次维修仍无法正常使用，供应商无条件给予全套更新或退货。在免费质保期内，供应商在接到用户单位电话通知后，须8小时之内上门服务并负责修复。如需更换货物或送修，必须在12小时内提供备用货物，并在5个工作日内负责维修完毕并送至用户单位处。供应商超时或未在规定的时间内及时处理故障，每次罚2000元扣款。</w:t>
      </w:r>
    </w:p>
    <w:p>
      <w:pPr>
        <w:snapToGrid w:val="0"/>
        <w:spacing w:line="56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）供应商主要资格要求：</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1、符合《中华人民共和国政府采购法》第二十二条的规定。</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2、投标人资质条件: 具有合法、有效的营业执照，营业执照经营范围中包含相应货物生产或销售的经营范围；</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3、企业未处于被责令停业、投标资格被取消或者财产被接管、冻结和破产状态、没有因骗取中标或者严重违约以及发生重大工程质量、安全生产事故等问题，被有关部门暂停投标资格并在暂停期内的。</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4、参加政府采购活动前三年内，在经营活动中没有重大违法记录（提供参加本项目政府采购活动前3年内在经营活动中没有重大违法记录的书面声明）。</w:t>
      </w:r>
    </w:p>
    <w:p>
      <w:pPr>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5、本项目不接受联合体投标。</w:t>
      </w:r>
    </w:p>
    <w:p>
      <w:pPr>
        <w:snapToGrid w:val="0"/>
        <w:spacing w:line="560" w:lineRule="exact"/>
        <w:ind w:firstLine="413" w:firstLineChars="147"/>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二、本项目货物需求一览表及技术参数及要求</w:t>
      </w:r>
      <w:bookmarkStart w:id="3" w:name="_GoBack"/>
      <w:bookmarkEnd w:id="3"/>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1710"/>
        <w:gridCol w:w="1026"/>
        <w:gridCol w:w="1128"/>
        <w:gridCol w:w="1752"/>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83" w:type="dxa"/>
            <w:vAlign w:val="center"/>
          </w:tcPr>
          <w:p>
            <w:pPr>
              <w:snapToGrid w:val="0"/>
              <w:spacing w:line="50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1710" w:type="dxa"/>
            <w:vAlign w:val="center"/>
          </w:tcPr>
          <w:p>
            <w:pPr>
              <w:snapToGrid w:val="0"/>
              <w:spacing w:line="50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阀门规格</w:t>
            </w:r>
          </w:p>
        </w:tc>
        <w:tc>
          <w:tcPr>
            <w:tcW w:w="1026" w:type="dxa"/>
            <w:vAlign w:val="center"/>
          </w:tcPr>
          <w:p>
            <w:pPr>
              <w:snapToGrid w:val="0"/>
              <w:spacing w:line="50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128" w:type="dxa"/>
            <w:vAlign w:val="center"/>
          </w:tcPr>
          <w:p>
            <w:pPr>
              <w:snapToGrid w:val="0"/>
              <w:spacing w:line="50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单位</w:t>
            </w:r>
          </w:p>
        </w:tc>
        <w:tc>
          <w:tcPr>
            <w:tcW w:w="1752" w:type="dxa"/>
            <w:vAlign w:val="center"/>
          </w:tcPr>
          <w:p>
            <w:pPr>
              <w:snapToGrid w:val="0"/>
              <w:spacing w:line="50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参考扭矩</w:t>
            </w:r>
          </w:p>
        </w:tc>
        <w:tc>
          <w:tcPr>
            <w:tcW w:w="2021" w:type="dxa"/>
            <w:vAlign w:val="center"/>
          </w:tcPr>
          <w:p>
            <w:pPr>
              <w:snapToGrid w:val="0"/>
              <w:spacing w:line="50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snapToGrid w:val="0"/>
              <w:spacing w:line="50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p>
        </w:tc>
        <w:tc>
          <w:tcPr>
            <w:tcW w:w="1710" w:type="dxa"/>
            <w:vAlign w:val="center"/>
          </w:tcPr>
          <w:p>
            <w:pPr>
              <w:snapToGrid w:val="0"/>
              <w:spacing w:line="50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DN800</w:t>
            </w:r>
          </w:p>
        </w:tc>
        <w:tc>
          <w:tcPr>
            <w:tcW w:w="1026" w:type="dxa"/>
            <w:vAlign w:val="center"/>
          </w:tcPr>
          <w:p>
            <w:pPr>
              <w:snapToGrid w:val="0"/>
              <w:spacing w:line="50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p>
        </w:tc>
        <w:tc>
          <w:tcPr>
            <w:tcW w:w="1128" w:type="dxa"/>
            <w:vAlign w:val="center"/>
          </w:tcPr>
          <w:p>
            <w:pPr>
              <w:snapToGrid w:val="0"/>
              <w:spacing w:line="50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套</w:t>
            </w:r>
          </w:p>
        </w:tc>
        <w:tc>
          <w:tcPr>
            <w:tcW w:w="1752" w:type="dxa"/>
            <w:vAlign w:val="center"/>
          </w:tcPr>
          <w:p>
            <w:pPr>
              <w:snapToGrid w:val="0"/>
              <w:spacing w:line="50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16000N.m</w:t>
            </w:r>
          </w:p>
        </w:tc>
        <w:tc>
          <w:tcPr>
            <w:tcW w:w="2021" w:type="dxa"/>
            <w:vAlign w:val="center"/>
          </w:tcPr>
          <w:p>
            <w:pPr>
              <w:snapToGrid w:val="0"/>
              <w:spacing w:line="36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现场为旧执行器更换，需自行复核联接尺寸。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6"/>
          </w:tcPr>
          <w:p>
            <w:pPr>
              <w:pStyle w:val="15"/>
              <w:spacing w:before="0" w:after="0" w:line="440" w:lineRule="exact"/>
              <w:ind w:right="218" w:rightChars="104" w:firstLine="0"/>
              <w:jc w:val="left"/>
              <w:textAlignment w:val="baseline"/>
              <w:rPr>
                <w:rFonts w:asciiTheme="minorEastAsia" w:hAnsiTheme="minorEastAsia" w:eastAsiaTheme="minorEastAsia"/>
                <w:b w:val="0"/>
                <w:sz w:val="24"/>
                <w:szCs w:val="24"/>
              </w:rPr>
            </w:pPr>
            <w:r>
              <w:rPr>
                <w:rFonts w:hint="eastAsia" w:asciiTheme="minorEastAsia" w:hAnsiTheme="minorEastAsia" w:eastAsiaTheme="minorEastAsia"/>
                <w:sz w:val="24"/>
                <w:szCs w:val="24"/>
              </w:rPr>
              <w:t>技术要求：</w:t>
            </w:r>
          </w:p>
          <w:p>
            <w:pPr>
              <w:pStyle w:val="15"/>
              <w:spacing w:before="0" w:after="0" w:line="440" w:lineRule="exact"/>
              <w:ind w:right="218" w:rightChars="104" w:firstLine="483" w:firstLineChars="192"/>
              <w:jc w:val="left"/>
              <w:textAlignment w:val="baseline"/>
              <w:rPr>
                <w:rFonts w:asciiTheme="minorEastAsia" w:hAnsiTheme="minorEastAsia" w:eastAsiaTheme="minorEastAsia"/>
                <w:b w:val="0"/>
                <w:sz w:val="24"/>
                <w:szCs w:val="24"/>
              </w:rPr>
            </w:pPr>
            <w:r>
              <w:rPr>
                <w:rFonts w:asciiTheme="minorEastAsia" w:hAnsiTheme="minorEastAsia" w:eastAsiaTheme="minorEastAsia"/>
                <w:b w:val="0"/>
                <w:sz w:val="24"/>
                <w:szCs w:val="24"/>
              </w:rPr>
              <w:t>1</w:t>
            </w:r>
            <w:r>
              <w:rPr>
                <w:rFonts w:hint="eastAsia" w:asciiTheme="minorEastAsia" w:hAnsiTheme="minorEastAsia" w:eastAsiaTheme="minorEastAsia"/>
                <w:b w:val="0"/>
                <w:sz w:val="24"/>
                <w:szCs w:val="24"/>
              </w:rPr>
              <w:t>、总则</w:t>
            </w:r>
          </w:p>
          <w:p>
            <w:pPr>
              <w:pStyle w:val="15"/>
              <w:spacing w:before="0" w:after="0" w:line="440" w:lineRule="exact"/>
              <w:ind w:right="218" w:rightChars="104" w:firstLine="483" w:firstLineChars="192"/>
              <w:jc w:val="left"/>
              <w:textAlignment w:val="baseline"/>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电动执行器采用奥玛</w:t>
            </w:r>
            <w:r>
              <w:rPr>
                <w:rFonts w:asciiTheme="minorEastAsia" w:hAnsiTheme="minorEastAsia" w:eastAsiaTheme="minorEastAsia"/>
                <w:b w:val="0"/>
                <w:sz w:val="24"/>
                <w:szCs w:val="24"/>
              </w:rPr>
              <w:t>(AUMA)</w:t>
            </w:r>
            <w:r>
              <w:rPr>
                <w:rFonts w:hint="eastAsia" w:asciiTheme="minorEastAsia" w:hAnsiTheme="minorEastAsia" w:eastAsiaTheme="minorEastAsia"/>
                <w:b w:val="0"/>
                <w:sz w:val="24"/>
                <w:szCs w:val="24"/>
              </w:rPr>
              <w:t>品牌</w:t>
            </w:r>
            <w:r>
              <w:rPr>
                <w:rFonts w:asciiTheme="minorEastAsia" w:hAnsiTheme="minorEastAsia" w:eastAsiaTheme="minorEastAsia"/>
                <w:b w:val="0"/>
                <w:sz w:val="24"/>
                <w:szCs w:val="24"/>
              </w:rPr>
              <w:t>SA</w:t>
            </w:r>
            <w:r>
              <w:rPr>
                <w:rFonts w:asciiTheme="minorEastAsia" w:hAnsiTheme="minorEastAsia" w:eastAsiaTheme="minorEastAsia"/>
                <w:b w:val="0"/>
                <w:sz w:val="24"/>
                <w:szCs w:val="24"/>
                <w:vertAlign w:val="superscript"/>
              </w:rPr>
              <w:t>+</w:t>
            </w:r>
            <w:r>
              <w:rPr>
                <w:rFonts w:asciiTheme="minorEastAsia" w:hAnsiTheme="minorEastAsia" w:eastAsiaTheme="minorEastAsia"/>
                <w:b w:val="0"/>
                <w:sz w:val="24"/>
                <w:szCs w:val="24"/>
              </w:rPr>
              <w:t>AC</w:t>
            </w:r>
            <w:r>
              <w:rPr>
                <w:rFonts w:hint="eastAsia" w:asciiTheme="minorEastAsia" w:hAnsiTheme="minorEastAsia" w:eastAsiaTheme="minorEastAsia"/>
                <w:b w:val="0"/>
                <w:sz w:val="24"/>
                <w:szCs w:val="24"/>
              </w:rPr>
              <w:t>系列智能型非侵入式。</w:t>
            </w:r>
          </w:p>
          <w:p>
            <w:pPr>
              <w:pStyle w:val="15"/>
              <w:spacing w:before="0" w:after="0" w:line="440" w:lineRule="exact"/>
              <w:ind w:right="218" w:rightChars="104" w:firstLine="483" w:firstLineChars="192"/>
              <w:jc w:val="left"/>
              <w:textAlignment w:val="baseline"/>
              <w:rPr>
                <w:rFonts w:asciiTheme="minorEastAsia" w:hAnsiTheme="minorEastAsia" w:eastAsiaTheme="minorEastAsia"/>
                <w:b w:val="0"/>
                <w:sz w:val="24"/>
                <w:szCs w:val="24"/>
              </w:rPr>
            </w:pPr>
            <w:r>
              <w:rPr>
                <w:rFonts w:asciiTheme="minorEastAsia" w:hAnsiTheme="minorEastAsia" w:eastAsiaTheme="minorEastAsia"/>
                <w:b w:val="0"/>
                <w:sz w:val="24"/>
                <w:szCs w:val="24"/>
              </w:rPr>
              <w:t>1.1</w:t>
            </w:r>
            <w:r>
              <w:rPr>
                <w:rFonts w:hint="eastAsia" w:asciiTheme="minorEastAsia" w:hAnsiTheme="minorEastAsia" w:eastAsiaTheme="minorEastAsia"/>
                <w:b w:val="0"/>
                <w:sz w:val="24"/>
                <w:szCs w:val="24"/>
              </w:rPr>
              <w:t>、现场仪表装备外壳的防护类型应满足</w:t>
            </w:r>
            <w:r>
              <w:rPr>
                <w:rFonts w:asciiTheme="minorEastAsia" w:hAnsiTheme="minorEastAsia" w:eastAsiaTheme="minorEastAsia"/>
                <w:b w:val="0"/>
                <w:sz w:val="24"/>
                <w:szCs w:val="24"/>
              </w:rPr>
              <w:t>IP68</w:t>
            </w:r>
            <w:r>
              <w:rPr>
                <w:rFonts w:hint="eastAsia" w:asciiTheme="minorEastAsia" w:hAnsiTheme="minorEastAsia" w:eastAsiaTheme="minorEastAsia"/>
                <w:b w:val="0"/>
                <w:sz w:val="24"/>
                <w:szCs w:val="24"/>
              </w:rPr>
              <w:t>相关要求。</w:t>
            </w:r>
          </w:p>
          <w:p>
            <w:pPr>
              <w:pStyle w:val="15"/>
              <w:spacing w:before="0" w:after="0" w:line="440" w:lineRule="exact"/>
              <w:ind w:right="218" w:rightChars="104" w:firstLine="528"/>
              <w:jc w:val="left"/>
              <w:textAlignment w:val="baseline"/>
              <w:rPr>
                <w:rFonts w:asciiTheme="minorEastAsia" w:hAnsiTheme="minorEastAsia" w:eastAsiaTheme="minorEastAsia"/>
                <w:b w:val="0"/>
                <w:sz w:val="24"/>
                <w:szCs w:val="24"/>
              </w:rPr>
            </w:pPr>
            <w:r>
              <w:rPr>
                <w:rFonts w:asciiTheme="minorEastAsia" w:hAnsiTheme="minorEastAsia" w:eastAsiaTheme="minorEastAsia"/>
                <w:b w:val="0"/>
                <w:sz w:val="24"/>
                <w:szCs w:val="24"/>
              </w:rPr>
              <w:t>1.2</w:t>
            </w:r>
            <w:r>
              <w:rPr>
                <w:rFonts w:hint="eastAsia" w:asciiTheme="minorEastAsia" w:hAnsiTheme="minorEastAsia" w:eastAsiaTheme="minorEastAsia"/>
                <w:b w:val="0"/>
                <w:sz w:val="24"/>
                <w:szCs w:val="24"/>
              </w:rPr>
              <w:t>、执行机构应有装在外部的“开”</w:t>
            </w:r>
            <w:r>
              <w:rPr>
                <w:rFonts w:asciiTheme="minorEastAsia" w:hAnsiTheme="minorEastAsia" w:eastAsiaTheme="minorEastAsia"/>
                <w:b w:val="0"/>
                <w:sz w:val="24"/>
                <w:szCs w:val="24"/>
              </w:rPr>
              <w:t>—</w:t>
            </w:r>
            <w:r>
              <w:rPr>
                <w:rFonts w:hint="eastAsia" w:asciiTheme="minorEastAsia" w:hAnsiTheme="minorEastAsia" w:eastAsiaTheme="minorEastAsia"/>
                <w:b w:val="0"/>
                <w:sz w:val="24"/>
                <w:szCs w:val="24"/>
              </w:rPr>
              <w:t>“关”</w:t>
            </w:r>
            <w:r>
              <w:rPr>
                <w:rFonts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t>“停”按钮，并应是瞬间接触型。在执行机构上应装有“就地”</w:t>
            </w:r>
            <w:r>
              <w:rPr>
                <w:rFonts w:asciiTheme="minorEastAsia" w:hAnsiTheme="minorEastAsia" w:eastAsiaTheme="minorEastAsia"/>
                <w:b w:val="0"/>
                <w:sz w:val="24"/>
                <w:szCs w:val="24"/>
              </w:rPr>
              <w:t>—</w:t>
            </w:r>
            <w:r>
              <w:rPr>
                <w:rFonts w:hint="eastAsia" w:asciiTheme="minorEastAsia" w:hAnsiTheme="minorEastAsia" w:eastAsiaTheme="minorEastAsia"/>
                <w:b w:val="0"/>
                <w:sz w:val="24"/>
                <w:szCs w:val="24"/>
              </w:rPr>
              <w:t>“停止”</w:t>
            </w:r>
            <w:r>
              <w:rPr>
                <w:rFonts w:asciiTheme="minorEastAsia" w:hAnsiTheme="minorEastAsia" w:eastAsiaTheme="minorEastAsia"/>
                <w:b w:val="0"/>
                <w:sz w:val="24"/>
                <w:szCs w:val="24"/>
              </w:rPr>
              <w:t>—</w:t>
            </w:r>
            <w:r>
              <w:rPr>
                <w:rFonts w:hint="eastAsia" w:asciiTheme="minorEastAsia" w:hAnsiTheme="minorEastAsia" w:eastAsiaTheme="minorEastAsia"/>
                <w:b w:val="0"/>
                <w:sz w:val="24"/>
                <w:szCs w:val="24"/>
              </w:rPr>
              <w:t>“远控”开关，并有控制方式的输出指示。执行器带有液晶屏，液晶屏显示字幕为中文，可以输入输出</w:t>
            </w:r>
            <w:r>
              <w:rPr>
                <w:rFonts w:asciiTheme="minorEastAsia" w:hAnsiTheme="minorEastAsia" w:eastAsiaTheme="minorEastAsia"/>
                <w:b w:val="0"/>
                <w:sz w:val="24"/>
                <w:szCs w:val="24"/>
              </w:rPr>
              <w:t>DC4-20mA</w:t>
            </w:r>
            <w:r>
              <w:rPr>
                <w:rFonts w:hint="eastAsia" w:asciiTheme="minorEastAsia" w:hAnsiTheme="minorEastAsia" w:eastAsiaTheme="minorEastAsia"/>
                <w:b w:val="0"/>
                <w:sz w:val="24"/>
                <w:szCs w:val="24"/>
              </w:rPr>
              <w:t>电流信号</w:t>
            </w:r>
            <w:r>
              <w:rPr>
                <w:rFonts w:asciiTheme="minorEastAsia" w:hAnsiTheme="minorEastAsia" w:eastAsiaTheme="minorEastAsia"/>
                <w:b w:val="0"/>
                <w:sz w:val="24"/>
                <w:szCs w:val="24"/>
              </w:rPr>
              <w:t>(</w:t>
            </w:r>
            <w:r>
              <w:rPr>
                <w:rFonts w:hint="eastAsia" w:asciiTheme="minorEastAsia" w:hAnsiTheme="minorEastAsia" w:eastAsiaTheme="minorEastAsia"/>
                <w:b w:val="0"/>
                <w:sz w:val="24"/>
                <w:szCs w:val="24"/>
              </w:rPr>
              <w:t>即调节型</w:t>
            </w:r>
            <w:r>
              <w:rPr>
                <w:rFonts w:asciiTheme="minorEastAsia" w:hAnsiTheme="minorEastAsia" w:eastAsiaTheme="minorEastAsia"/>
                <w:b w:val="0"/>
                <w:sz w:val="24"/>
                <w:szCs w:val="24"/>
              </w:rPr>
              <w:t>)</w:t>
            </w:r>
            <w:r>
              <w:rPr>
                <w:rFonts w:hint="eastAsia" w:asciiTheme="minorEastAsia" w:hAnsiTheme="minorEastAsia" w:eastAsiaTheme="minorEastAsia"/>
                <w:b w:val="0"/>
                <w:sz w:val="24"/>
                <w:szCs w:val="24"/>
              </w:rPr>
              <w:t>。</w:t>
            </w:r>
          </w:p>
          <w:p>
            <w:pPr>
              <w:pStyle w:val="15"/>
              <w:spacing w:before="0" w:after="0" w:line="440" w:lineRule="exact"/>
              <w:ind w:right="218" w:rightChars="104" w:firstLine="528"/>
              <w:jc w:val="left"/>
              <w:textAlignment w:val="baseline"/>
              <w:rPr>
                <w:rFonts w:asciiTheme="minorEastAsia" w:hAnsiTheme="minorEastAsia" w:eastAsiaTheme="minorEastAsia"/>
                <w:b w:val="0"/>
                <w:sz w:val="24"/>
                <w:szCs w:val="24"/>
              </w:rPr>
            </w:pPr>
            <w:r>
              <w:rPr>
                <w:rFonts w:asciiTheme="minorEastAsia" w:hAnsiTheme="minorEastAsia" w:eastAsiaTheme="minorEastAsia"/>
                <w:b w:val="0"/>
                <w:sz w:val="24"/>
                <w:szCs w:val="24"/>
              </w:rPr>
              <w:t>1.3</w:t>
            </w:r>
            <w:r>
              <w:rPr>
                <w:rFonts w:hint="eastAsia" w:asciiTheme="minorEastAsia" w:hAnsiTheme="minorEastAsia" w:eastAsiaTheme="minorEastAsia"/>
                <w:b w:val="0"/>
                <w:sz w:val="24"/>
                <w:szCs w:val="24"/>
              </w:rPr>
              <w:t>、控制单元跟机器本体采用插拔式结构，且同型号机器可以快速互换，以便现场出现紧急情况时能够便捷处理。</w:t>
            </w:r>
          </w:p>
          <w:p>
            <w:pPr>
              <w:snapToGrid w:val="0"/>
              <w:spacing w:line="440" w:lineRule="exact"/>
              <w:ind w:right="218" w:rightChars="104"/>
              <w:jc w:val="left"/>
              <w:rPr>
                <w:rFonts w:asciiTheme="minorEastAsia" w:hAnsiTheme="minorEastAsia" w:eastAsiaTheme="minorEastAsia"/>
                <w:spacing w:val="6"/>
                <w:sz w:val="24"/>
                <w:szCs w:val="24"/>
              </w:rPr>
            </w:pPr>
            <w:bookmarkStart w:id="0" w:name="_Toc220306030"/>
            <w:r>
              <w:rPr>
                <w:rFonts w:asciiTheme="minorEastAsia" w:hAnsiTheme="minorEastAsia" w:eastAsiaTheme="minorEastAsia"/>
                <w:spacing w:val="6"/>
                <w:sz w:val="24"/>
                <w:szCs w:val="24"/>
              </w:rPr>
              <w:t xml:space="preserve">    2</w:t>
            </w:r>
            <w:r>
              <w:rPr>
                <w:rFonts w:hint="eastAsia" w:asciiTheme="minorEastAsia" w:hAnsiTheme="minorEastAsia" w:eastAsiaTheme="minorEastAsia"/>
                <w:spacing w:val="6"/>
                <w:sz w:val="24"/>
                <w:szCs w:val="24"/>
              </w:rPr>
              <w:t>、电气特性及控制系统描述</w:t>
            </w:r>
          </w:p>
          <w:p>
            <w:pPr>
              <w:snapToGrid w:val="0"/>
              <w:spacing w:line="440" w:lineRule="exact"/>
              <w:ind w:right="218" w:rightChars="104"/>
              <w:jc w:val="left"/>
              <w:rPr>
                <w:rFonts w:asciiTheme="minorEastAsia" w:hAnsiTheme="minorEastAsia" w:eastAsiaTheme="minorEastAsia"/>
                <w:spacing w:val="6"/>
                <w:sz w:val="24"/>
                <w:szCs w:val="24"/>
              </w:rPr>
            </w:pPr>
            <w:r>
              <w:rPr>
                <w:rFonts w:asciiTheme="minorEastAsia" w:hAnsiTheme="minorEastAsia" w:eastAsiaTheme="minorEastAsia"/>
                <w:spacing w:val="6"/>
                <w:sz w:val="24"/>
                <w:szCs w:val="24"/>
              </w:rPr>
              <w:t xml:space="preserve">    2.1</w:t>
            </w:r>
            <w:r>
              <w:rPr>
                <w:rFonts w:hint="eastAsia" w:asciiTheme="minorEastAsia" w:hAnsiTheme="minorEastAsia" w:eastAsiaTheme="minorEastAsia"/>
                <w:spacing w:val="6"/>
                <w:sz w:val="24"/>
                <w:szCs w:val="24"/>
              </w:rPr>
              <w:t>电气特性</w:t>
            </w:r>
            <w:bookmarkEnd w:id="0"/>
          </w:p>
          <w:p>
            <w:pPr>
              <w:pStyle w:val="15"/>
              <w:spacing w:before="0" w:after="0" w:line="440" w:lineRule="exact"/>
              <w:ind w:right="218" w:rightChars="104" w:firstLine="483" w:firstLineChars="192"/>
              <w:jc w:val="left"/>
              <w:textAlignment w:val="baseline"/>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电机应该是鼠笼式异步电机，在</w:t>
            </w:r>
            <w:r>
              <w:rPr>
                <w:rFonts w:asciiTheme="minorEastAsia" w:hAnsiTheme="minorEastAsia" w:eastAsiaTheme="minorEastAsia"/>
                <w:b w:val="0"/>
                <w:sz w:val="24"/>
                <w:szCs w:val="24"/>
              </w:rPr>
              <w:t>380V</w:t>
            </w:r>
            <w:r>
              <w:rPr>
                <w:rFonts w:hint="eastAsia" w:asciiTheme="minorEastAsia" w:hAnsiTheme="minorEastAsia" w:eastAsiaTheme="minorEastAsia"/>
                <w:b w:val="0"/>
                <w:sz w:val="24"/>
                <w:szCs w:val="24"/>
              </w:rPr>
              <w:t>、</w:t>
            </w:r>
            <w:r>
              <w:rPr>
                <w:rFonts w:asciiTheme="minorEastAsia" w:hAnsiTheme="minorEastAsia" w:eastAsiaTheme="minorEastAsia"/>
                <w:b w:val="0"/>
                <w:sz w:val="24"/>
                <w:szCs w:val="24"/>
              </w:rPr>
              <w:t>50HZ</w:t>
            </w:r>
            <w:r>
              <w:rPr>
                <w:rFonts w:hint="eastAsia" w:asciiTheme="minorEastAsia" w:hAnsiTheme="minorEastAsia" w:eastAsiaTheme="minorEastAsia"/>
                <w:b w:val="0"/>
                <w:sz w:val="24"/>
                <w:szCs w:val="24"/>
              </w:rPr>
              <w:t>、</w:t>
            </w:r>
            <w:r>
              <w:rPr>
                <w:rFonts w:asciiTheme="minorEastAsia" w:hAnsiTheme="minorEastAsia" w:eastAsiaTheme="minorEastAsia"/>
                <w:b w:val="0"/>
                <w:sz w:val="24"/>
                <w:szCs w:val="24"/>
              </w:rPr>
              <w:t>3</w:t>
            </w:r>
            <w:r>
              <w:rPr>
                <w:rFonts w:hint="eastAsia" w:asciiTheme="minorEastAsia" w:hAnsiTheme="minorEastAsia" w:eastAsiaTheme="minorEastAsia"/>
                <w:b w:val="0"/>
                <w:sz w:val="24"/>
                <w:szCs w:val="24"/>
              </w:rPr>
              <w:t>相交流电源下能够连续运行，执行机构应保证阀门在全压差下启闭，启闭时间</w:t>
            </w:r>
            <w:r>
              <w:rPr>
                <w:rFonts w:asciiTheme="minorEastAsia" w:hAnsiTheme="minorEastAsia" w:eastAsiaTheme="minorEastAsia"/>
                <w:b w:val="0"/>
                <w:sz w:val="24"/>
                <w:szCs w:val="24"/>
              </w:rPr>
              <w:t>45s</w:t>
            </w:r>
            <w:r>
              <w:rPr>
                <w:rFonts w:hint="eastAsia" w:asciiTheme="minorEastAsia" w:hAnsiTheme="minorEastAsia" w:eastAsiaTheme="minorEastAsia"/>
                <w:b w:val="0"/>
                <w:sz w:val="24"/>
                <w:szCs w:val="24"/>
              </w:rPr>
              <w:t>，满足电源电压在±</w:t>
            </w:r>
            <w:r>
              <w:rPr>
                <w:rFonts w:asciiTheme="minorEastAsia" w:hAnsiTheme="minorEastAsia" w:eastAsiaTheme="minorEastAsia"/>
                <w:b w:val="0"/>
                <w:sz w:val="24"/>
                <w:szCs w:val="24"/>
              </w:rPr>
              <w:t>5</w:t>
            </w:r>
            <w:r>
              <w:rPr>
                <w:rFonts w:hint="eastAsia" w:asciiTheme="minorEastAsia" w:hAnsiTheme="minorEastAsia" w:eastAsiaTheme="minorEastAsia"/>
                <w:b w:val="0"/>
                <w:sz w:val="24"/>
                <w:szCs w:val="24"/>
              </w:rPr>
              <w:t>％变化时能正常工作。并且电机任何部分的温升都不能超过允许的范围。</w:t>
            </w:r>
          </w:p>
          <w:p>
            <w:pPr>
              <w:pStyle w:val="15"/>
              <w:spacing w:before="0" w:after="0" w:line="440" w:lineRule="exact"/>
              <w:ind w:right="218" w:rightChars="104" w:firstLine="483" w:firstLineChars="192"/>
              <w:jc w:val="left"/>
              <w:textAlignment w:val="baseline"/>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电机应是整体封闭，自然冷却。配有温度调节保护装置。电机防护等级不低于</w:t>
            </w:r>
            <w:r>
              <w:rPr>
                <w:rFonts w:asciiTheme="minorEastAsia" w:hAnsiTheme="minorEastAsia" w:eastAsiaTheme="minorEastAsia"/>
                <w:b w:val="0"/>
                <w:sz w:val="24"/>
                <w:szCs w:val="24"/>
              </w:rPr>
              <w:t>IP68</w:t>
            </w:r>
            <w:r>
              <w:rPr>
                <w:rFonts w:hint="eastAsia" w:asciiTheme="minorEastAsia" w:hAnsiTheme="minorEastAsia" w:eastAsiaTheme="minorEastAsia"/>
                <w:b w:val="0"/>
                <w:sz w:val="24"/>
                <w:szCs w:val="24"/>
              </w:rPr>
              <w:t>，应为</w:t>
            </w:r>
            <w:r>
              <w:rPr>
                <w:rFonts w:asciiTheme="minorEastAsia" w:hAnsiTheme="minorEastAsia" w:eastAsiaTheme="minorEastAsia"/>
                <w:b w:val="0"/>
                <w:sz w:val="24"/>
                <w:szCs w:val="24"/>
              </w:rPr>
              <w:t>F</w:t>
            </w:r>
            <w:r>
              <w:rPr>
                <w:rFonts w:hint="eastAsia" w:asciiTheme="minorEastAsia" w:hAnsiTheme="minorEastAsia" w:eastAsiaTheme="minorEastAsia"/>
                <w:b w:val="0"/>
                <w:sz w:val="24"/>
                <w:szCs w:val="24"/>
              </w:rPr>
              <w:t>级绝缘。</w:t>
            </w:r>
          </w:p>
          <w:p>
            <w:pPr>
              <w:pStyle w:val="15"/>
              <w:spacing w:before="0" w:after="0" w:line="440" w:lineRule="exact"/>
              <w:ind w:right="218" w:rightChars="104" w:firstLine="483" w:firstLineChars="192"/>
              <w:jc w:val="left"/>
              <w:textAlignment w:val="baseline"/>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端子板应置于一个单独密封的接线箱里，以免现场连接回路裸露。端口应该有标号，接线也要能清晰地识别。接线箱应设有电缆连接的入口，未用的接线要用金属插头封闭。电缆入口和连接件都应该是增安型的。在没有断开外部接线的情况下，控制回路应易于检测。接线箱内外都要有接地端子。</w:t>
            </w:r>
          </w:p>
          <w:p>
            <w:pPr>
              <w:snapToGrid w:val="0"/>
              <w:spacing w:line="440" w:lineRule="exact"/>
              <w:ind w:right="218" w:rightChars="104"/>
              <w:jc w:val="left"/>
              <w:rPr>
                <w:rFonts w:asciiTheme="minorEastAsia" w:hAnsiTheme="minorEastAsia" w:eastAsiaTheme="minorEastAsia"/>
                <w:spacing w:val="6"/>
                <w:sz w:val="24"/>
                <w:szCs w:val="24"/>
              </w:rPr>
            </w:pPr>
            <w:bookmarkStart w:id="1" w:name="_Toc220306031"/>
            <w:r>
              <w:rPr>
                <w:rFonts w:asciiTheme="minorEastAsia" w:hAnsiTheme="minorEastAsia" w:eastAsiaTheme="minorEastAsia"/>
                <w:spacing w:val="6"/>
                <w:sz w:val="24"/>
                <w:szCs w:val="24"/>
              </w:rPr>
              <w:t xml:space="preserve">   2.2 </w:t>
            </w:r>
            <w:r>
              <w:rPr>
                <w:rFonts w:hint="eastAsia" w:asciiTheme="minorEastAsia" w:hAnsiTheme="minorEastAsia" w:eastAsiaTheme="minorEastAsia"/>
                <w:spacing w:val="6"/>
                <w:sz w:val="24"/>
                <w:szCs w:val="24"/>
              </w:rPr>
              <w:t>控制系统</w:t>
            </w:r>
            <w:bookmarkEnd w:id="1"/>
          </w:p>
          <w:p>
            <w:pPr>
              <w:pStyle w:val="15"/>
              <w:spacing w:before="0" w:after="0" w:line="440" w:lineRule="exact"/>
              <w:ind w:right="218" w:rightChars="104" w:firstLine="483" w:firstLineChars="192"/>
              <w:jc w:val="left"/>
              <w:textAlignment w:val="baseline"/>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执行机构包括电机、正反转启动器、就地控制设施、远控终端和指示机构。电机启动器包含有机械和电动连锁功能的远控逆转装置，且适合任何位置操作。</w:t>
            </w:r>
          </w:p>
          <w:p>
            <w:pPr>
              <w:pStyle w:val="15"/>
              <w:spacing w:before="0" w:after="0" w:line="440" w:lineRule="exact"/>
              <w:ind w:right="218" w:rightChars="104" w:firstLine="483" w:firstLineChars="192"/>
              <w:jc w:val="left"/>
              <w:textAlignment w:val="baseline"/>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电动执行机构应具有现场智能存储功能，能够存储阀门的运行状态，操作时间等过程信息。现场数据存储为</w:t>
            </w:r>
            <w:r>
              <w:rPr>
                <w:rFonts w:asciiTheme="minorEastAsia" w:hAnsiTheme="minorEastAsia" w:eastAsiaTheme="minorEastAsia"/>
                <w:b w:val="0"/>
                <w:sz w:val="24"/>
                <w:szCs w:val="24"/>
              </w:rPr>
              <w:t>90</w:t>
            </w:r>
            <w:r>
              <w:rPr>
                <w:rFonts w:hint="eastAsia" w:asciiTheme="minorEastAsia" w:hAnsiTheme="minorEastAsia" w:eastAsiaTheme="minorEastAsia"/>
                <w:b w:val="0"/>
                <w:sz w:val="24"/>
                <w:szCs w:val="24"/>
              </w:rPr>
              <w:t>天。</w:t>
            </w:r>
          </w:p>
          <w:p>
            <w:pPr>
              <w:pStyle w:val="15"/>
              <w:spacing w:before="0" w:after="0" w:line="440" w:lineRule="exact"/>
              <w:ind w:right="218" w:rightChars="104" w:firstLine="483" w:firstLineChars="192"/>
              <w:jc w:val="left"/>
              <w:textAlignment w:val="baseline"/>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执行机构控制箱内的控制回路必须允许“开”、“关”和“停”的控制，此控制是通过可锁定的三位</w:t>
            </w:r>
            <w:r>
              <w:rPr>
                <w:rFonts w:asciiTheme="minorEastAsia" w:hAnsiTheme="minorEastAsia" w:eastAsiaTheme="minorEastAsia"/>
                <w:b w:val="0"/>
                <w:sz w:val="24"/>
                <w:szCs w:val="24"/>
              </w:rPr>
              <w:t>(</w:t>
            </w:r>
            <w:r>
              <w:rPr>
                <w:rFonts w:hint="eastAsia" w:asciiTheme="minorEastAsia" w:hAnsiTheme="minorEastAsia" w:eastAsiaTheme="minorEastAsia"/>
                <w:b w:val="0"/>
                <w:sz w:val="24"/>
                <w:szCs w:val="24"/>
              </w:rPr>
              <w:t>就地、关闭、远程</w:t>
            </w:r>
            <w:r>
              <w:rPr>
                <w:rFonts w:asciiTheme="minorEastAsia" w:hAnsiTheme="minorEastAsia" w:eastAsiaTheme="minorEastAsia"/>
                <w:b w:val="0"/>
                <w:sz w:val="24"/>
                <w:szCs w:val="24"/>
              </w:rPr>
              <w:t>)</w:t>
            </w:r>
            <w:r>
              <w:rPr>
                <w:rFonts w:hint="eastAsia" w:asciiTheme="minorEastAsia" w:hAnsiTheme="minorEastAsia" w:eastAsiaTheme="minorEastAsia"/>
                <w:b w:val="0"/>
                <w:sz w:val="24"/>
                <w:szCs w:val="24"/>
              </w:rPr>
              <w:t>选择器实现，无论选择器位于哪一个位置，“停”控制总是优先的。控制逻辑应允许从“开”</w:t>
            </w:r>
            <w:r>
              <w:rPr>
                <w:rFonts w:asciiTheme="minorEastAsia" w:hAnsiTheme="minorEastAsia" w:eastAsiaTheme="minorEastAsia"/>
                <w:b w:val="0"/>
                <w:sz w:val="24"/>
                <w:szCs w:val="24"/>
              </w:rPr>
              <w:t>’</w:t>
            </w:r>
            <w:r>
              <w:rPr>
                <w:rFonts w:hint="eastAsia" w:asciiTheme="minorEastAsia" w:hAnsiTheme="minorEastAsia" w:eastAsiaTheme="minorEastAsia"/>
                <w:b w:val="0"/>
                <w:sz w:val="24"/>
                <w:szCs w:val="24"/>
              </w:rPr>
              <w:t>到“关”或从“关”到“开”的改变不需要完成阀门的“开／关”全行程后再执行。</w:t>
            </w:r>
          </w:p>
          <w:p>
            <w:pPr>
              <w:pStyle w:val="15"/>
              <w:spacing w:before="0" w:after="0" w:line="440" w:lineRule="exact"/>
              <w:ind w:right="218" w:rightChars="104" w:firstLine="483" w:firstLineChars="192"/>
              <w:jc w:val="left"/>
              <w:textAlignment w:val="baseline"/>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电气元件应放在不受气候影响的防护罩内，并符合危险区域等级分类要求。</w:t>
            </w:r>
          </w:p>
          <w:p>
            <w:pPr>
              <w:pStyle w:val="15"/>
              <w:spacing w:before="0" w:after="0" w:line="440" w:lineRule="exact"/>
              <w:ind w:right="218" w:rightChars="104" w:firstLine="483" w:firstLineChars="192"/>
              <w:jc w:val="left"/>
              <w:textAlignment w:val="baseline"/>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执行机构可以接收包括</w:t>
            </w:r>
            <w:r>
              <w:rPr>
                <w:rFonts w:asciiTheme="minorEastAsia" w:hAnsiTheme="minorEastAsia" w:eastAsiaTheme="minorEastAsia"/>
                <w:b w:val="0"/>
                <w:sz w:val="24"/>
                <w:szCs w:val="24"/>
              </w:rPr>
              <w:t>:</w:t>
            </w:r>
            <w:r>
              <w:rPr>
                <w:rFonts w:hint="eastAsia" w:asciiTheme="minorEastAsia" w:hAnsiTheme="minorEastAsia" w:eastAsiaTheme="minorEastAsia"/>
                <w:b w:val="0"/>
                <w:sz w:val="24"/>
                <w:szCs w:val="24"/>
              </w:rPr>
              <w:t>接受开、关、停、</w:t>
            </w:r>
            <w:r>
              <w:rPr>
                <w:rFonts w:asciiTheme="minorEastAsia" w:hAnsiTheme="minorEastAsia" w:eastAsiaTheme="minorEastAsia"/>
                <w:b w:val="0"/>
                <w:sz w:val="24"/>
                <w:szCs w:val="24"/>
              </w:rPr>
              <w:t>ESD</w:t>
            </w:r>
            <w:r>
              <w:rPr>
                <w:rFonts w:hint="eastAsia" w:asciiTheme="minorEastAsia" w:hAnsiTheme="minorEastAsia" w:eastAsiaTheme="minorEastAsia"/>
                <w:b w:val="0"/>
                <w:sz w:val="24"/>
                <w:szCs w:val="24"/>
              </w:rPr>
              <w:t>及</w:t>
            </w:r>
            <w:r>
              <w:rPr>
                <w:rFonts w:asciiTheme="minorEastAsia" w:hAnsiTheme="minorEastAsia" w:eastAsiaTheme="minorEastAsia"/>
                <w:b w:val="0"/>
                <w:sz w:val="24"/>
                <w:szCs w:val="24"/>
              </w:rPr>
              <w:t>DC4-20mA</w:t>
            </w:r>
            <w:r>
              <w:rPr>
                <w:rFonts w:hint="eastAsia" w:asciiTheme="minorEastAsia" w:hAnsiTheme="minorEastAsia" w:eastAsiaTheme="minorEastAsia"/>
                <w:b w:val="0"/>
                <w:sz w:val="24"/>
                <w:szCs w:val="24"/>
              </w:rPr>
              <w:t>电流控制命令，至少输出以下状态：</w:t>
            </w:r>
          </w:p>
          <w:p>
            <w:pPr>
              <w:pStyle w:val="15"/>
              <w:spacing w:before="0" w:after="0" w:line="440" w:lineRule="exact"/>
              <w:ind w:right="218" w:rightChars="104" w:firstLine="483" w:firstLineChars="192"/>
              <w:jc w:val="left"/>
              <w:textAlignment w:val="baseline"/>
              <w:rPr>
                <w:rFonts w:asciiTheme="minorEastAsia" w:hAnsiTheme="minorEastAsia" w:eastAsiaTheme="minorEastAsia"/>
                <w:b w:val="0"/>
                <w:sz w:val="24"/>
                <w:szCs w:val="24"/>
              </w:rPr>
            </w:pPr>
            <w:r>
              <w:rPr>
                <w:rFonts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t>阀门全开状态</w:t>
            </w:r>
          </w:p>
          <w:p>
            <w:pPr>
              <w:pStyle w:val="15"/>
              <w:spacing w:before="0" w:after="0" w:line="440" w:lineRule="exact"/>
              <w:ind w:right="218" w:rightChars="104" w:firstLine="483" w:firstLineChars="192"/>
              <w:jc w:val="left"/>
              <w:textAlignment w:val="baseline"/>
              <w:rPr>
                <w:rFonts w:asciiTheme="minorEastAsia" w:hAnsiTheme="minorEastAsia" w:eastAsiaTheme="minorEastAsia"/>
                <w:b w:val="0"/>
                <w:sz w:val="24"/>
                <w:szCs w:val="24"/>
              </w:rPr>
            </w:pPr>
            <w:r>
              <w:rPr>
                <w:rFonts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t>阀门全关状态</w:t>
            </w:r>
          </w:p>
          <w:p>
            <w:pPr>
              <w:pStyle w:val="15"/>
              <w:spacing w:before="0" w:after="0" w:line="440" w:lineRule="exact"/>
              <w:ind w:right="218" w:rightChars="104" w:firstLine="483" w:firstLineChars="192"/>
              <w:jc w:val="left"/>
              <w:textAlignment w:val="baseline"/>
              <w:rPr>
                <w:rFonts w:asciiTheme="minorEastAsia" w:hAnsiTheme="minorEastAsia" w:eastAsiaTheme="minorEastAsia"/>
                <w:b w:val="0"/>
                <w:sz w:val="24"/>
                <w:szCs w:val="24"/>
              </w:rPr>
            </w:pPr>
            <w:r>
              <w:rPr>
                <w:rFonts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t>阀门开度信号（</w:t>
            </w:r>
            <w:r>
              <w:rPr>
                <w:rFonts w:asciiTheme="minorEastAsia" w:hAnsiTheme="minorEastAsia" w:eastAsiaTheme="minorEastAsia"/>
                <w:b w:val="0"/>
                <w:sz w:val="24"/>
                <w:szCs w:val="24"/>
              </w:rPr>
              <w:t>0-100%</w:t>
            </w:r>
            <w:r>
              <w:rPr>
                <w:rFonts w:hint="eastAsia" w:asciiTheme="minorEastAsia" w:hAnsiTheme="minorEastAsia" w:eastAsiaTheme="minorEastAsia"/>
                <w:b w:val="0"/>
                <w:sz w:val="24"/>
                <w:szCs w:val="24"/>
              </w:rPr>
              <w:t>）</w:t>
            </w:r>
          </w:p>
          <w:p>
            <w:pPr>
              <w:pStyle w:val="15"/>
              <w:spacing w:before="0" w:after="0" w:line="440" w:lineRule="exact"/>
              <w:ind w:right="218" w:rightChars="104" w:firstLine="483" w:firstLineChars="192"/>
              <w:jc w:val="left"/>
              <w:textAlignment w:val="baseline"/>
              <w:rPr>
                <w:rFonts w:asciiTheme="minorEastAsia" w:hAnsiTheme="minorEastAsia" w:eastAsiaTheme="minorEastAsia"/>
                <w:b w:val="0"/>
                <w:sz w:val="24"/>
                <w:szCs w:val="24"/>
              </w:rPr>
            </w:pPr>
            <w:r>
              <w:rPr>
                <w:rFonts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t>故障信号</w:t>
            </w:r>
          </w:p>
          <w:p>
            <w:pPr>
              <w:pStyle w:val="15"/>
              <w:spacing w:before="0" w:after="0" w:line="440" w:lineRule="exact"/>
              <w:ind w:right="218" w:rightChars="104" w:firstLine="483" w:firstLineChars="192"/>
              <w:jc w:val="left"/>
              <w:textAlignment w:val="baseline"/>
              <w:rPr>
                <w:rFonts w:asciiTheme="minorEastAsia" w:hAnsiTheme="minorEastAsia" w:eastAsiaTheme="minorEastAsia"/>
                <w:sz w:val="28"/>
                <w:szCs w:val="28"/>
              </w:rPr>
            </w:pPr>
            <w:r>
              <w:rPr>
                <w:rFonts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rPr>
              <w:t>就地／远控状态</w:t>
            </w:r>
          </w:p>
        </w:tc>
      </w:tr>
    </w:tbl>
    <w:p>
      <w:pPr>
        <w:snapToGrid w:val="0"/>
        <w:spacing w:line="560" w:lineRule="exact"/>
        <w:ind w:firstLine="281" w:firstLineChars="100"/>
        <w:rPr>
          <w:rFonts w:asciiTheme="minorEastAsia" w:hAnsiTheme="minorEastAsia" w:eastAsiaTheme="minorEastAsia"/>
          <w:b/>
          <w:bCs/>
          <w:sz w:val="28"/>
          <w:szCs w:val="28"/>
        </w:rPr>
      </w:pPr>
      <w:r>
        <w:rPr>
          <w:rFonts w:hint="eastAsia" w:asciiTheme="minorEastAsia" w:hAnsiTheme="minorEastAsia" w:eastAsiaTheme="minorEastAsia"/>
          <w:b/>
          <w:sz w:val="28"/>
          <w:szCs w:val="28"/>
        </w:rPr>
        <w:t>三、</w:t>
      </w:r>
      <w:r>
        <w:rPr>
          <w:rFonts w:hint="eastAsia" w:asciiTheme="minorEastAsia" w:hAnsiTheme="minorEastAsia" w:eastAsiaTheme="minorEastAsia"/>
          <w:b/>
          <w:bCs/>
          <w:sz w:val="28"/>
          <w:szCs w:val="28"/>
        </w:rPr>
        <w:t>报价要求</w:t>
      </w:r>
    </w:p>
    <w:p>
      <w:pPr>
        <w:pStyle w:val="3"/>
        <w:spacing w:after="0" w:line="560" w:lineRule="exact"/>
        <w:ind w:left="71" w:leftChars="34" w:right="63" w:firstLine="562" w:firstLineChars="200"/>
        <w:jc w:val="left"/>
        <w:rPr>
          <w:rFonts w:cs="仿宋_GB2312" w:asciiTheme="minorEastAsia" w:hAnsiTheme="minorEastAsia" w:eastAsiaTheme="minorEastAsia"/>
          <w:b/>
          <w:color w:val="333333"/>
          <w:kern w:val="0"/>
          <w:sz w:val="28"/>
          <w:szCs w:val="28"/>
        </w:rPr>
      </w:pPr>
      <w:r>
        <w:rPr>
          <w:rFonts w:hint="eastAsia" w:ascii="宋体" w:hAnsi="宋体" w:cs="仿宋_GB2312"/>
          <w:b/>
          <w:color w:val="333333"/>
          <w:kern w:val="0"/>
          <w:sz w:val="28"/>
          <w:szCs w:val="28"/>
          <w:u w:val="single"/>
        </w:rPr>
        <w:t>本项目招标控制价（含税）为人民币139600.00元整（大写：人民币壹拾叁万玖仟陆佰元整）</w:t>
      </w:r>
      <w:r>
        <w:rPr>
          <w:rFonts w:hint="eastAsia" w:ascii="宋体" w:hAnsi="宋体" w:cs="仿宋_GB2312"/>
          <w:b/>
          <w:color w:val="333333"/>
          <w:kern w:val="0"/>
          <w:sz w:val="28"/>
          <w:szCs w:val="28"/>
        </w:rPr>
        <w:t>，超过或等于招标控制价的为无效报价，最低价中标。</w:t>
      </w:r>
    </w:p>
    <w:p>
      <w:pPr>
        <w:widowControl/>
        <w:spacing w:line="560" w:lineRule="exact"/>
        <w:ind w:firstLine="552" w:firstLineChars="200"/>
        <w:jc w:val="left"/>
        <w:rPr>
          <w:rFonts w:cs="仿宋_GB2312" w:asciiTheme="minorEastAsia" w:hAnsiTheme="minorEastAsia" w:eastAsiaTheme="minorEastAsia"/>
          <w:color w:val="333333"/>
          <w:spacing w:val="-2"/>
          <w:kern w:val="0"/>
          <w:sz w:val="28"/>
          <w:szCs w:val="28"/>
        </w:rPr>
      </w:pPr>
      <w:r>
        <w:rPr>
          <w:rFonts w:hint="eastAsia" w:cs="宋体" w:asciiTheme="minorEastAsia" w:hAnsiTheme="minorEastAsia" w:eastAsiaTheme="minorEastAsia"/>
          <w:bCs/>
          <w:spacing w:val="-2"/>
          <w:sz w:val="28"/>
          <w:szCs w:val="28"/>
        </w:rPr>
        <w:t>备注：</w:t>
      </w:r>
      <w:r>
        <w:rPr>
          <w:rFonts w:hint="eastAsia" w:cs="仿宋_GB2312" w:asciiTheme="minorEastAsia" w:hAnsiTheme="minorEastAsia" w:eastAsiaTheme="minorEastAsia"/>
          <w:color w:val="333333"/>
          <w:spacing w:val="-2"/>
          <w:kern w:val="0"/>
          <w:sz w:val="28"/>
          <w:szCs w:val="28"/>
        </w:rPr>
        <w:t>报价应包含本项目所有涉及的全部费用，包括但不限于下列费用：本项目全部设备、材料及随设备提供的备品备件及专用工具的价格、包装费、运杂费（运抵买方工地现场）、保险费、安装费、设备投运、质保及供应商认为需要的其他所有费用。在安装、调试、验收过程中，如发现有漏项、缺件，中标人应无条件、无偿补齐，所发生的一切费用，视为已包含在供应商的投标报价之中，且并不因此而影响交付采购人使用的时间。邀请公告中所有内容涉及的费用，按常规应当包括的其它费用，投标时一次包定,不再另行追加。无论本文件是否以文字形式规定，报价供应商应具备足够的专业知识和能力判定本项目所需的一切材料、安装、服务、材料检测等各种未预见费用，采购方不接受任何可选择的报价，成交供应商也不得在供货、安装期间提出任何增加费用的要求，不得降低产品及安装质量。请各供应商在报价时请充分考虑各种因素。</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对采购</w:t>
      </w:r>
      <w:r>
        <w:rPr>
          <w:rFonts w:hint="eastAsia" w:cs="仿宋_GB2312" w:asciiTheme="minorEastAsia" w:hAnsiTheme="minorEastAsia" w:eastAsiaTheme="minorEastAsia"/>
          <w:kern w:val="0"/>
          <w:sz w:val="28"/>
          <w:szCs w:val="28"/>
        </w:rPr>
        <w:t>人提供的货物需求一览表及技术参数及要求，供应商如有疑问，应按本邀请公告中规定的期限内提出，否则视为默认，货物需求一览表及技术参数及要求不再作</w:t>
      </w:r>
      <w:r>
        <w:rPr>
          <w:rFonts w:hint="eastAsia" w:cs="仿宋_GB2312" w:asciiTheme="minorEastAsia" w:hAnsiTheme="minorEastAsia" w:eastAsiaTheme="minorEastAsia"/>
          <w:color w:val="333333"/>
          <w:kern w:val="0"/>
          <w:sz w:val="28"/>
          <w:szCs w:val="28"/>
        </w:rPr>
        <w:t>任何修改，成交供应商不得再提任何调整要求。</w:t>
      </w:r>
    </w:p>
    <w:p>
      <w:pPr>
        <w:snapToGrid w:val="0"/>
        <w:spacing w:line="480" w:lineRule="exact"/>
        <w:ind w:firstLine="562" w:firstLineChars="200"/>
        <w:rPr>
          <w:rFonts w:cs="仿宋" w:asciiTheme="minorEastAsia" w:hAnsiTheme="minorEastAsia" w:eastAsiaTheme="minorEastAsia"/>
          <w:b/>
          <w:bCs/>
          <w:sz w:val="28"/>
        </w:rPr>
      </w:pPr>
      <w:r>
        <w:rPr>
          <w:rFonts w:hint="eastAsia" w:cs="仿宋" w:asciiTheme="minorEastAsia" w:hAnsiTheme="minorEastAsia" w:eastAsiaTheme="minorEastAsia"/>
          <w:b/>
          <w:bCs/>
          <w:sz w:val="28"/>
        </w:rPr>
        <w:t>本项目招标代理服务费按国家相关收费标准由中标单位承担。</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p>
    <w:p>
      <w:pPr>
        <w:widowControl/>
        <w:spacing w:line="560" w:lineRule="exact"/>
        <w:ind w:firstLine="422" w:firstLineChars="150"/>
        <w:jc w:val="left"/>
        <w:rPr>
          <w:rFonts w:cs="仿宋_GB2312" w:asciiTheme="minorEastAsia" w:hAnsiTheme="minorEastAsia" w:eastAsiaTheme="minorEastAsia"/>
          <w:b/>
          <w:color w:val="000000" w:themeColor="text1"/>
          <w:kern w:val="0"/>
          <w:sz w:val="28"/>
          <w:szCs w:val="28"/>
          <w14:textFill>
            <w14:solidFill>
              <w14:schemeClr w14:val="tx1"/>
            </w14:solidFill>
          </w14:textFill>
        </w:rPr>
      </w:pPr>
      <w:r>
        <w:rPr>
          <w:rFonts w:hint="eastAsia" w:asciiTheme="minorEastAsia" w:hAnsiTheme="minorEastAsia" w:eastAsiaTheme="minorEastAsia"/>
          <w:b/>
          <w:sz w:val="28"/>
          <w:szCs w:val="28"/>
        </w:rPr>
        <w:t>四、投标保证金：</w:t>
      </w:r>
      <w:r>
        <w:rPr>
          <w:rFonts w:hint="eastAsia" w:cs="仿宋_GB2312" w:asciiTheme="minorEastAsia" w:hAnsiTheme="minorEastAsia" w:eastAsiaTheme="minorEastAsia"/>
          <w:color w:val="333333"/>
          <w:kern w:val="0"/>
          <w:sz w:val="28"/>
          <w:szCs w:val="28"/>
        </w:rPr>
        <w:t>根据省财政厅要求，不收取投标保证金。</w:t>
      </w:r>
    </w:p>
    <w:p>
      <w:pPr>
        <w:widowControl/>
        <w:spacing w:line="560" w:lineRule="exact"/>
        <w:ind w:firstLine="422" w:firstLineChars="15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五、履约保证金及付款方式</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1、履约保证金：中标单位应在中标后3日向采购人缴纳履约保证金，履约保证金为中标价的5%，形式：转账，逾期未缴纳的，招标人有权取消其中标资格，履约保证金在项目全部完成并验收合格后一个月内由采购单位返还（履约期间利息不计）。</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2、付款方式</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货物安装调试完毕验收合格并在无故障运行一个月后付合同价的95%，余款5%（含质保金）于质保服务期满（从验收合格之日算起）无质量问题后付清（不计利息）。</w:t>
      </w:r>
    </w:p>
    <w:p>
      <w:pPr>
        <w:widowControl/>
        <w:spacing w:line="560" w:lineRule="exact"/>
        <w:ind w:firstLine="560" w:firstLineChars="200"/>
        <w:jc w:val="left"/>
        <w:rPr>
          <w:rFonts w:cs="仿宋_GB2312" w:asciiTheme="minorEastAsia" w:hAnsiTheme="minorEastAsia" w:eastAsiaTheme="minorEastAsia"/>
          <w:color w:val="333333"/>
          <w:kern w:val="0"/>
          <w:sz w:val="28"/>
          <w:szCs w:val="28"/>
        </w:rPr>
      </w:pPr>
      <w:r>
        <w:rPr>
          <w:rFonts w:hint="eastAsia" w:cs="仿宋_GB2312" w:asciiTheme="minorEastAsia" w:hAnsiTheme="minorEastAsia" w:eastAsiaTheme="minorEastAsia"/>
          <w:color w:val="333333"/>
          <w:kern w:val="0"/>
          <w:sz w:val="28"/>
          <w:szCs w:val="28"/>
        </w:rPr>
        <w:t>中标单位应在每次付款前提供相应的发票，否则付款期限相应顺延。</w:t>
      </w:r>
    </w:p>
    <w:p>
      <w:pPr>
        <w:pStyle w:val="4"/>
        <w:widowControl/>
        <w:spacing w:line="560" w:lineRule="exact"/>
        <w:ind w:left="0" w:firstLine="551" w:firstLineChars="196"/>
        <w:jc w:val="lef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六、投标截止时间、开标时间及地点</w:t>
      </w:r>
    </w:p>
    <w:p>
      <w:pPr>
        <w:widowControl/>
        <w:shd w:val="clear" w:color="auto" w:fill="FFFFFF"/>
        <w:spacing w:line="560" w:lineRule="exact"/>
        <w:ind w:firstLine="560" w:firstLineChars="200"/>
        <w:rPr>
          <w:rFonts w:ascii="宋体" w:hAnsi="宋体" w:cs="宋体"/>
          <w:color w:val="333333"/>
          <w:kern w:val="0"/>
          <w:sz w:val="28"/>
          <w:szCs w:val="28"/>
          <w:shd w:val="clear" w:color="auto" w:fill="FFFFFF"/>
        </w:rPr>
      </w:pPr>
      <w:r>
        <w:rPr>
          <w:rFonts w:hint="eastAsia" w:ascii="宋体" w:hAnsi="宋体" w:cs="宋体"/>
          <w:color w:val="333333"/>
          <w:kern w:val="0"/>
          <w:sz w:val="28"/>
          <w:szCs w:val="28"/>
          <w:shd w:val="clear" w:color="auto" w:fill="FFFFFF"/>
        </w:rPr>
        <w:t>根据启东市新型冠状病毒感染的肺炎疫情防控工作指挥部通告（第25号）的相关规定及疫情防控要求，本项目实行不见面开标，各投标人须在规定时间内将密封的投标文件邮寄（只接收顺丰）至指定地点。请投标人充分考虑天气、快递速度、路程等因素，不接受到付。未在规定时间内送达的投标文件将不予接收，后果由各潜在投标人自行承担。</w:t>
      </w:r>
    </w:p>
    <w:p>
      <w:pPr>
        <w:widowControl/>
        <w:adjustRightInd w:val="0"/>
        <w:snapToGrid w:val="0"/>
        <w:spacing w:line="560" w:lineRule="exact"/>
        <w:ind w:firstLine="560"/>
        <w:jc w:val="left"/>
        <w:rPr>
          <w:rFonts w:ascii="宋体" w:hAnsi="宋体" w:cs="宋体"/>
          <w:sz w:val="28"/>
          <w:szCs w:val="28"/>
          <w:shd w:val="clear" w:color="auto" w:fill="FFFFFF"/>
        </w:rPr>
      </w:pPr>
      <w:r>
        <w:rPr>
          <w:rFonts w:hint="eastAsia" w:ascii="宋体" w:hAnsi="宋体" w:cs="宋体"/>
          <w:kern w:val="0"/>
          <w:sz w:val="28"/>
          <w:szCs w:val="28"/>
        </w:rPr>
        <w:t>1、本项目为不见面开标，各潜在投标人须在规定时间内将投标文件快递至规定地点，快递只接受顺丰方式。请各潜在投标人充分考虑天气、快递速度、路程等因素，不接受到付。未在规定时间内送达的投标文件将不予接收，后果由各潜在投标人自行承担。</w:t>
      </w:r>
    </w:p>
    <w:p>
      <w:pPr>
        <w:widowControl/>
        <w:shd w:val="clear" w:color="auto" w:fill="FFFFFF"/>
        <w:spacing w:line="560" w:lineRule="exact"/>
        <w:ind w:firstLine="560"/>
        <w:rPr>
          <w:rFonts w:ascii="宋体" w:hAnsi="宋体" w:cs="宋体"/>
          <w:kern w:val="0"/>
          <w:sz w:val="28"/>
          <w:szCs w:val="28"/>
        </w:rPr>
      </w:pPr>
      <w:r>
        <w:rPr>
          <w:rFonts w:hint="eastAsia" w:ascii="宋体" w:hAnsi="宋体" w:cs="宋体"/>
          <w:kern w:val="0"/>
          <w:sz w:val="28"/>
          <w:szCs w:val="28"/>
        </w:rPr>
        <w:t>2、投标资料接收截止时间及接收地点：2022年01月20日上午11:00前寄达（以送达签收时间为准），接收地点：江苏天宏华信工程投资管理咨询有限公司（启东市南苑西路1168号国动产业园2号楼402室），接收联系人：陈佩芬，联系电话：139628232679。</w:t>
      </w:r>
    </w:p>
    <w:p>
      <w:pPr>
        <w:widowControl/>
        <w:shd w:val="clear" w:color="auto" w:fill="FFFFFF"/>
        <w:spacing w:line="560" w:lineRule="exact"/>
        <w:ind w:firstLine="560"/>
        <w:rPr>
          <w:rFonts w:ascii="宋体" w:hAnsi="宋体" w:cs="宋体"/>
          <w:kern w:val="0"/>
          <w:sz w:val="28"/>
          <w:szCs w:val="28"/>
        </w:rPr>
      </w:pPr>
      <w:r>
        <w:rPr>
          <w:rFonts w:hint="eastAsia" w:ascii="宋体" w:hAnsi="宋体" w:cs="宋体"/>
          <w:kern w:val="0"/>
          <w:sz w:val="28"/>
          <w:szCs w:val="28"/>
        </w:rPr>
        <w:t>开标时间：2022年01月20日下午2:30（北京时间）</w:t>
      </w:r>
    </w:p>
    <w:p>
      <w:pPr>
        <w:pStyle w:val="4"/>
        <w:widowControl/>
        <w:spacing w:line="560" w:lineRule="exact"/>
        <w:ind w:left="0" w:firstLine="548" w:firstLineChars="196"/>
        <w:jc w:val="left"/>
        <w:rPr>
          <w:rFonts w:ascii="宋体" w:hAnsi="宋体" w:cs="宋体"/>
          <w:kern w:val="0"/>
          <w:sz w:val="28"/>
          <w:szCs w:val="28"/>
        </w:rPr>
      </w:pPr>
      <w:r>
        <w:rPr>
          <w:rFonts w:hint="eastAsia" w:ascii="宋体" w:hAnsi="宋体" w:cs="宋体"/>
          <w:kern w:val="0"/>
          <w:sz w:val="28"/>
          <w:szCs w:val="28"/>
        </w:rPr>
        <w:t>开标地点：启东城投集团有限公司(启东市林洋路1099号)【108】开标室</w:t>
      </w:r>
    </w:p>
    <w:p>
      <w:pPr>
        <w:snapToGrid w:val="0"/>
        <w:spacing w:line="480" w:lineRule="exact"/>
        <w:ind w:firstLine="560"/>
        <w:rPr>
          <w:rFonts w:cs="仿宋" w:asciiTheme="minorEastAsia" w:hAnsiTheme="minorEastAsia" w:eastAsiaTheme="minorEastAsia"/>
          <w:b/>
          <w:bCs/>
          <w:sz w:val="28"/>
        </w:rPr>
      </w:pPr>
      <w:r>
        <w:rPr>
          <w:rFonts w:hint="eastAsia" w:cs="仿宋" w:asciiTheme="minorEastAsia" w:hAnsiTheme="minorEastAsia" w:eastAsiaTheme="minorEastAsia"/>
          <w:b/>
          <w:bCs/>
          <w:sz w:val="28"/>
        </w:rPr>
        <w:t>七、报价文件构成</w:t>
      </w:r>
    </w:p>
    <w:p>
      <w:pPr>
        <w:spacing w:line="48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（1）报价承诺书（按照附件一格式填写）；</w:t>
      </w:r>
    </w:p>
    <w:p>
      <w:pPr>
        <w:snapToGrid w:val="0"/>
        <w:spacing w:line="480" w:lineRule="exact"/>
        <w:ind w:firstLine="560" w:firstLineChars="200"/>
        <w:rPr>
          <w:rFonts w:asciiTheme="minorEastAsia" w:hAnsiTheme="minorEastAsia" w:eastAsiaTheme="minorEastAsia"/>
        </w:rPr>
      </w:pPr>
      <w:r>
        <w:rPr>
          <w:rFonts w:hint="eastAsia" w:cs="仿宋" w:asciiTheme="minorEastAsia" w:hAnsiTheme="minorEastAsia" w:eastAsiaTheme="minorEastAsia"/>
          <w:sz w:val="28"/>
          <w:szCs w:val="28"/>
        </w:rPr>
        <w:t>（2）有效的企业法人营业执照复印件；</w:t>
      </w:r>
    </w:p>
    <w:p>
      <w:pPr>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（3）法定代表人身份证复印件（加盖报价单位公章）；</w:t>
      </w:r>
    </w:p>
    <w:p>
      <w:pPr>
        <w:snapToGrid w:val="0"/>
        <w:spacing w:line="480" w:lineRule="exact"/>
        <w:ind w:left="559" w:leftChars="266"/>
        <w:rPr>
          <w:rFonts w:asciiTheme="minorEastAsia" w:hAnsiTheme="minorEastAsia" w:eastAsiaTheme="minorEastAsia"/>
        </w:rPr>
      </w:pPr>
      <w:r>
        <w:rPr>
          <w:rFonts w:hint="eastAsia" w:cs="仿宋" w:asciiTheme="minorEastAsia" w:hAnsiTheme="minorEastAsia" w:eastAsiaTheme="minorEastAsia"/>
          <w:sz w:val="28"/>
        </w:rPr>
        <w:t>（4）法定代表人授权委托书及被授权人身份证复印件（按照附件二格式填写）；</w:t>
      </w:r>
    </w:p>
    <w:p>
      <w:pPr>
        <w:snapToGrid w:val="0"/>
        <w:spacing w:line="480" w:lineRule="exact"/>
        <w:ind w:left="559" w:leftChars="266"/>
        <w:rPr>
          <w:rFonts w:cs="仿宋" w:asciiTheme="minorEastAsia" w:hAnsiTheme="minorEastAsia" w:eastAsiaTheme="minorEastAsia"/>
          <w:sz w:val="28"/>
        </w:rPr>
      </w:pPr>
      <w:r>
        <w:rPr>
          <w:rFonts w:hint="eastAsia" w:cs="仿宋" w:asciiTheme="minorEastAsia" w:hAnsiTheme="minorEastAsia" w:eastAsiaTheme="minorEastAsia"/>
          <w:sz w:val="28"/>
        </w:rPr>
        <w:t>（5）投标函（按照附件三格式填写）</w:t>
      </w:r>
    </w:p>
    <w:p>
      <w:pPr>
        <w:snapToGrid w:val="0"/>
        <w:spacing w:line="480" w:lineRule="exact"/>
        <w:ind w:left="559" w:leftChars="266"/>
        <w:rPr>
          <w:rFonts w:cs="仿宋" w:asciiTheme="minorEastAsia" w:hAnsiTheme="minorEastAsia" w:eastAsiaTheme="minorEastAsia"/>
          <w:sz w:val="28"/>
        </w:rPr>
      </w:pPr>
      <w:r>
        <w:rPr>
          <w:rFonts w:hint="eastAsia" w:cs="仿宋" w:asciiTheme="minorEastAsia" w:hAnsiTheme="minorEastAsia" w:eastAsiaTheme="minorEastAsia"/>
          <w:sz w:val="28"/>
        </w:rPr>
        <w:t>（6）报价表：报价表须按提供的报价样表格式填写（</w:t>
      </w:r>
      <w:r>
        <w:rPr>
          <w:rFonts w:hint="eastAsia" w:cs="仿宋" w:asciiTheme="minorEastAsia" w:hAnsiTheme="minorEastAsia" w:eastAsiaTheme="minorEastAsia"/>
          <w:sz w:val="28"/>
          <w:szCs w:val="28"/>
        </w:rPr>
        <w:t>按照附件四格式填写</w:t>
      </w:r>
      <w:r>
        <w:rPr>
          <w:rFonts w:hint="eastAsia" w:cs="仿宋" w:asciiTheme="minorEastAsia" w:hAnsiTheme="minorEastAsia" w:eastAsiaTheme="minorEastAsia"/>
          <w:sz w:val="28"/>
        </w:rPr>
        <w:t>），如有其他情况需要说明的，可附页说明。所有页面均须加盖单位公章，否则视为无效报价。</w:t>
      </w:r>
    </w:p>
    <w:p>
      <w:pPr>
        <w:spacing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（7）质保承诺书（按照附件五格式填写）；</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rPr>
        <w:t>（8）参加采购活动前3年内在经营活动中没有重大违法记录的书面声明（按照附件六格式填写，加盖报价单位公章）；</w:t>
      </w:r>
    </w:p>
    <w:p>
      <w:pPr>
        <w:snapToGrid w:val="0"/>
        <w:spacing w:line="480" w:lineRule="exact"/>
        <w:ind w:firstLine="551" w:firstLineChars="196"/>
        <w:rPr>
          <w:rFonts w:cs="仿宋" w:asciiTheme="minorEastAsia" w:hAnsiTheme="minorEastAsia" w:eastAsiaTheme="minorEastAsia"/>
          <w:b/>
          <w:sz w:val="28"/>
        </w:rPr>
      </w:pPr>
      <w:r>
        <w:rPr>
          <w:rFonts w:hint="eastAsia" w:cs="仿宋" w:asciiTheme="minorEastAsia" w:hAnsiTheme="minorEastAsia" w:eastAsiaTheme="minorEastAsia"/>
          <w:b/>
          <w:sz w:val="28"/>
        </w:rPr>
        <w:t>备注：</w:t>
      </w:r>
    </w:p>
    <w:p>
      <w:pPr>
        <w:snapToGrid w:val="0"/>
        <w:spacing w:line="480" w:lineRule="exact"/>
        <w:ind w:firstLine="548" w:firstLineChars="195"/>
        <w:rPr>
          <w:rFonts w:cs="仿宋" w:asciiTheme="minorEastAsia" w:hAnsiTheme="minorEastAsia" w:eastAsiaTheme="minorEastAsia"/>
          <w:bCs/>
          <w:sz w:val="28"/>
        </w:rPr>
      </w:pPr>
      <w:r>
        <w:rPr>
          <w:rFonts w:hint="eastAsia" w:cs="仿宋" w:asciiTheme="minorEastAsia" w:hAnsiTheme="minorEastAsia" w:eastAsiaTheme="minorEastAsia"/>
          <w:b/>
          <w:sz w:val="28"/>
        </w:rPr>
        <w:t>（1）报价文件正、副本各一份，报价文件中必须包含上述要求提供的所有材料的复印件并加盖单位公章（副本可为复印件），并在投标时提供上述所有证明材料的原件查验，否则以未实质性响应询价文件处理。报价文件装订成册并密封，密封袋上标明：项目名称、报价单位名称，否则视为无效报价</w:t>
      </w:r>
      <w:r>
        <w:rPr>
          <w:rFonts w:hint="eastAsia" w:cs="仿宋" w:asciiTheme="minorEastAsia" w:hAnsiTheme="minorEastAsia" w:eastAsiaTheme="minorEastAsia"/>
          <w:bCs/>
          <w:sz w:val="28"/>
        </w:rPr>
        <w:t>。</w:t>
      </w:r>
    </w:p>
    <w:p>
      <w:pPr>
        <w:numPr>
          <w:ilvl w:val="0"/>
          <w:numId w:val="1"/>
        </w:numPr>
        <w:snapToGrid w:val="0"/>
        <w:spacing w:line="480" w:lineRule="exact"/>
        <w:ind w:firstLine="560"/>
        <w:rPr>
          <w:rFonts w:cs="仿宋" w:asciiTheme="minorEastAsia" w:hAnsiTheme="minorEastAsia" w:eastAsiaTheme="minorEastAsia"/>
          <w:b/>
          <w:sz w:val="28"/>
        </w:rPr>
      </w:pPr>
      <w:r>
        <w:rPr>
          <w:rFonts w:hint="eastAsia" w:cs="仿宋" w:asciiTheme="minorEastAsia" w:hAnsiTheme="minorEastAsia" w:eastAsiaTheme="minorEastAsia"/>
          <w:b/>
          <w:sz w:val="28"/>
        </w:rPr>
        <w:t>如涉及报价人名称变更、资质证书到期换证等情况，须提供行政或行业主管部门出具的有效证明文件。</w:t>
      </w:r>
    </w:p>
    <w:p>
      <w:pPr>
        <w:snapToGrid w:val="0"/>
        <w:spacing w:line="480" w:lineRule="exact"/>
        <w:ind w:firstLine="562" w:firstLineChars="200"/>
        <w:rPr>
          <w:rFonts w:cs="仿宋" w:asciiTheme="minorEastAsia" w:hAnsiTheme="minorEastAsia" w:eastAsiaTheme="minorEastAsia"/>
          <w:b/>
          <w:sz w:val="28"/>
        </w:rPr>
      </w:pPr>
      <w:r>
        <w:rPr>
          <w:rFonts w:hint="eastAsia" w:cs="仿宋" w:asciiTheme="minorEastAsia" w:hAnsiTheme="minorEastAsia" w:eastAsiaTheme="minorEastAsia"/>
          <w:b/>
          <w:sz w:val="28"/>
        </w:rPr>
        <w:t>八、成交原则：</w:t>
      </w:r>
      <w:r>
        <w:rPr>
          <w:rFonts w:hint="eastAsia" w:cs="仿宋" w:asciiTheme="minorEastAsia" w:hAnsiTheme="minorEastAsia" w:eastAsiaTheme="minorEastAsia"/>
          <w:b/>
          <w:sz w:val="28"/>
          <w:u w:val="single"/>
        </w:rPr>
        <w:t>符合采购需求且以有效报价中的最低报价者中标。</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1、若总价最低者有相同时，通过抽签方式确定中标人。</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2、当第一中标候选人放弃中标、因不可抗力不能履行合同、不按照招标文件要求提交履约保证金，或者被查实存在影响中标结果的违法行为等情形，不符合中标条件的，采购人依法重新招标。</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3、报价为项目的总价，不得将项目拆分或选择性报价。</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4、成交人不得用以任何方式转包或分包本项目。</w:t>
      </w:r>
    </w:p>
    <w:p>
      <w:pPr>
        <w:pStyle w:val="3"/>
        <w:spacing w:after="0" w:line="480" w:lineRule="exact"/>
        <w:ind w:firstLine="560" w:firstLineChars="200"/>
        <w:rPr>
          <w:rFonts w:cs="仿宋" w:asciiTheme="minorEastAsia" w:hAnsiTheme="minorEastAsia" w:eastAsiaTheme="minorEastAsia"/>
          <w:sz w:val="28"/>
        </w:rPr>
      </w:pPr>
      <w:r>
        <w:rPr>
          <w:rFonts w:hint="eastAsia" w:cs="仿宋" w:asciiTheme="minorEastAsia" w:hAnsiTheme="minorEastAsia" w:eastAsiaTheme="minorEastAsia"/>
          <w:sz w:val="28"/>
          <w:szCs w:val="24"/>
        </w:rPr>
        <w:t>5、本办法未尽事宜，由评标委员会依据相关法规研究确定。</w:t>
      </w:r>
    </w:p>
    <w:p>
      <w:pPr>
        <w:pStyle w:val="4"/>
        <w:widowControl/>
        <w:spacing w:line="560" w:lineRule="exact"/>
        <w:ind w:left="0" w:firstLine="551" w:firstLineChars="196"/>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九、特别说明</w:t>
      </w:r>
    </w:p>
    <w:p>
      <w:pPr>
        <w:spacing w:line="560" w:lineRule="exact"/>
        <w:ind w:firstLine="548" w:firstLineChars="196"/>
        <w:rPr>
          <w:rFonts w:asciiTheme="minorEastAsia" w:hAnsiTheme="minorEastAsia" w:eastAsiaTheme="minorEastAsia"/>
          <w:bCs/>
          <w:sz w:val="28"/>
          <w:szCs w:val="28"/>
        </w:rPr>
      </w:pPr>
      <w:r>
        <w:rPr>
          <w:rFonts w:hint="eastAsia" w:asciiTheme="minorEastAsia" w:hAnsiTheme="minorEastAsia" w:eastAsiaTheme="minorEastAsia"/>
          <w:bCs/>
          <w:sz w:val="28"/>
          <w:szCs w:val="28"/>
        </w:rPr>
        <w:t>1、投标人不足三家或经评审有效投标人不足三家的，将组织重新招标。</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2、投标人有以下情况的，招标人有权按城投公司供应商考核办法予以处理，情节严重的将移除供应商库。</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（1）无故不参加投标报价的；</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（2）参加串标、围标活动的；</w:t>
      </w:r>
    </w:p>
    <w:p>
      <w:pPr>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（3）提供虚假资料的；</w:t>
      </w:r>
    </w:p>
    <w:p>
      <w:pPr>
        <w:pStyle w:val="4"/>
        <w:widowControl/>
        <w:spacing w:line="560" w:lineRule="exact"/>
        <w:ind w:left="0" w:firstLine="0" w:firstLineChars="0"/>
        <w:jc w:val="left"/>
        <w:rPr>
          <w:rFonts w:ascii="宋体" w:hAnsi="宋体" w:cs="宋体"/>
          <w:b/>
          <w:sz w:val="32"/>
          <w:szCs w:val="32"/>
        </w:rPr>
      </w:pPr>
      <w:r>
        <w:rPr>
          <w:rFonts w:hint="eastAsia" w:asciiTheme="minorEastAsia" w:hAnsiTheme="minorEastAsia" w:eastAsiaTheme="minorEastAsia"/>
          <w:bCs/>
          <w:sz w:val="28"/>
          <w:szCs w:val="28"/>
        </w:rPr>
        <w:t xml:space="preserve">    （4）中标后违约的。</w:t>
      </w:r>
    </w:p>
    <w:p>
      <w:pPr>
        <w:spacing w:line="560" w:lineRule="exact"/>
        <w:jc w:val="left"/>
        <w:rPr>
          <w:rFonts w:ascii="宋体" w:hAnsi="宋体" w:cs="宋体"/>
          <w:b/>
          <w:sz w:val="28"/>
          <w:szCs w:val="28"/>
        </w:rPr>
      </w:pPr>
    </w:p>
    <w:p>
      <w:pPr>
        <w:widowControl/>
        <w:tabs>
          <w:tab w:val="left" w:pos="-360"/>
        </w:tabs>
        <w:spacing w:line="560" w:lineRule="exact"/>
        <w:ind w:firstLine="2100" w:firstLineChars="750"/>
        <w:jc w:val="center"/>
        <w:rPr>
          <w:rFonts w:ascii="宋体" w:hAnsi="宋体" w:cs="宋体"/>
          <w:sz w:val="28"/>
          <w:szCs w:val="28"/>
          <w:u w:val="single"/>
        </w:rPr>
      </w:pPr>
      <w:r>
        <w:rPr>
          <w:rFonts w:hint="eastAsia" w:ascii="宋体" w:hAnsi="宋体" w:cs="宋体"/>
          <w:sz w:val="28"/>
          <w:szCs w:val="28"/>
        </w:rPr>
        <w:t xml:space="preserve">        招标人（盖章）：</w:t>
      </w:r>
      <w:r>
        <w:rPr>
          <w:rFonts w:hint="eastAsia" w:ascii="宋体" w:hAnsi="宋体" w:cs="宋体"/>
          <w:sz w:val="28"/>
          <w:szCs w:val="28"/>
          <w:u w:val="single"/>
        </w:rPr>
        <w:t>启东市自来水厂有限公司</w:t>
      </w:r>
    </w:p>
    <w:p>
      <w:pPr>
        <w:widowControl/>
        <w:tabs>
          <w:tab w:val="left" w:pos="-360"/>
        </w:tabs>
        <w:spacing w:line="560" w:lineRule="exact"/>
        <w:ind w:firstLine="282" w:firstLineChars="101"/>
        <w:jc w:val="center"/>
        <w:rPr>
          <w:rFonts w:ascii="宋体" w:hAnsi="宋体" w:cs="宋体"/>
          <w:sz w:val="28"/>
          <w:szCs w:val="28"/>
          <w:u w:val="single"/>
        </w:rPr>
      </w:pPr>
      <w:r>
        <w:rPr>
          <w:rFonts w:hint="eastAsia" w:ascii="宋体" w:hAnsi="宋体" w:cs="宋体"/>
          <w:sz w:val="28"/>
          <w:szCs w:val="28"/>
        </w:rPr>
        <w:t>联系人：</w:t>
      </w:r>
      <w:r>
        <w:rPr>
          <w:rFonts w:hint="eastAsia" w:ascii="宋体" w:hAnsi="宋体" w:cs="宋体"/>
          <w:sz w:val="28"/>
          <w:szCs w:val="28"/>
          <w:u w:val="single"/>
        </w:rPr>
        <w:t xml:space="preserve">黄哲远    </w:t>
      </w:r>
    </w:p>
    <w:p>
      <w:pPr>
        <w:widowControl/>
        <w:tabs>
          <w:tab w:val="left" w:pos="-360"/>
        </w:tabs>
        <w:spacing w:line="560" w:lineRule="exact"/>
        <w:ind w:firstLine="282" w:firstLineChars="101"/>
        <w:jc w:val="center"/>
        <w:rPr>
          <w:rFonts w:ascii="宋体" w:hAnsi="宋体" w:cs="宋体"/>
          <w:sz w:val="28"/>
          <w:szCs w:val="28"/>
        </w:rPr>
      </w:pPr>
      <w:r>
        <w:rPr>
          <w:rFonts w:hint="eastAsia" w:ascii="宋体" w:hAnsi="宋体" w:cs="宋体"/>
          <w:sz w:val="28"/>
          <w:szCs w:val="28"/>
        </w:rPr>
        <w:t xml:space="preserve">       联系电话：</w:t>
      </w:r>
      <w:r>
        <w:rPr>
          <w:rFonts w:hint="eastAsia" w:ascii="宋体" w:hAnsi="宋体" w:cs="宋体"/>
          <w:sz w:val="28"/>
          <w:szCs w:val="28"/>
          <w:u w:val="single"/>
        </w:rPr>
        <w:t>15962894908</w:t>
      </w:r>
    </w:p>
    <w:p>
      <w:pPr>
        <w:widowControl/>
        <w:tabs>
          <w:tab w:val="left" w:pos="-360"/>
        </w:tabs>
        <w:spacing w:line="560" w:lineRule="exact"/>
        <w:ind w:firstLine="282" w:firstLineChars="101"/>
        <w:jc w:val="center"/>
        <w:rPr>
          <w:rFonts w:ascii="宋体" w:hAnsi="宋体" w:cs="宋体"/>
          <w:b/>
          <w:bCs/>
          <w:color w:val="000000"/>
          <w:sz w:val="28"/>
          <w:szCs w:val="28"/>
        </w:rPr>
      </w:pPr>
      <w:r>
        <w:rPr>
          <w:rFonts w:hint="eastAsia" w:ascii="宋体" w:hAnsi="宋体" w:cs="宋体"/>
          <w:sz w:val="28"/>
          <w:szCs w:val="28"/>
        </w:rPr>
        <w:t xml:space="preserve">       日期：2022年1月1</w:t>
      </w:r>
      <w:r>
        <w:rPr>
          <w:rFonts w:hint="eastAsia" w:ascii="宋体" w:hAnsi="宋体" w:cs="宋体"/>
          <w:sz w:val="28"/>
          <w:szCs w:val="28"/>
          <w:lang w:val="en-US" w:eastAsia="zh-CN"/>
        </w:rPr>
        <w:t>7</w:t>
      </w:r>
      <w:r>
        <w:rPr>
          <w:rFonts w:hint="eastAsia" w:ascii="宋体" w:hAnsi="宋体" w:cs="宋体"/>
          <w:sz w:val="28"/>
          <w:szCs w:val="28"/>
        </w:rPr>
        <w:t>日</w:t>
      </w:r>
      <w:bookmarkStart w:id="2" w:name="_Toc341876476"/>
    </w:p>
    <w:p>
      <w:pPr>
        <w:spacing w:line="440" w:lineRule="exact"/>
        <w:rPr>
          <w:rFonts w:asciiTheme="majorEastAsia" w:hAnsiTheme="majorEastAsia" w:eastAsiaTheme="majorEastAsia"/>
          <w:b/>
          <w:sz w:val="36"/>
          <w:szCs w:val="36"/>
        </w:rPr>
      </w:pPr>
      <w:r>
        <w:rPr>
          <w:rFonts w:ascii="宋体" w:hAnsi="宋体" w:cs="宋体"/>
          <w:b/>
          <w:bCs/>
          <w:color w:val="000000"/>
          <w:sz w:val="36"/>
          <w:szCs w:val="36"/>
        </w:rPr>
        <w:br w:type="page"/>
      </w:r>
      <w:r>
        <w:rPr>
          <w:rFonts w:hint="eastAsia" w:asciiTheme="majorEastAsia" w:hAnsiTheme="majorEastAsia" w:eastAsiaTheme="majorEastAsia"/>
          <w:b/>
          <w:sz w:val="36"/>
          <w:szCs w:val="36"/>
        </w:rPr>
        <w:t>附件一：</w:t>
      </w:r>
    </w:p>
    <w:p>
      <w:pPr>
        <w:spacing w:line="50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报 价 承 诺 书</w:t>
      </w:r>
    </w:p>
    <w:p>
      <w:pPr>
        <w:spacing w:beforeLines="50" w:afterLines="50"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启东市自来水厂有限公司：</w:t>
      </w:r>
    </w:p>
    <w:p>
      <w:pPr>
        <w:wordWrap w:val="0"/>
        <w:snapToGrid w:val="0"/>
        <w:spacing w:line="500" w:lineRule="exact"/>
        <w:ind w:firstLine="560" w:firstLineChars="200"/>
        <w:jc w:val="left"/>
        <w:rPr>
          <w:rFonts w:asciiTheme="minorEastAsia" w:hAnsiTheme="minorEastAsia" w:eastAsiaTheme="minorEastAsia"/>
          <w:b/>
          <w:sz w:val="28"/>
          <w:szCs w:val="28"/>
        </w:rPr>
      </w:pPr>
      <w:r>
        <w:rPr>
          <w:rFonts w:hint="eastAsia" w:asciiTheme="minorEastAsia" w:hAnsiTheme="minorEastAsia" w:eastAsiaTheme="minorEastAsia"/>
          <w:sz w:val="28"/>
          <w:szCs w:val="28"/>
          <w:u w:val="single"/>
        </w:rPr>
        <w:t>（报价单位全称）</w:t>
      </w:r>
      <w:r>
        <w:rPr>
          <w:rFonts w:hint="eastAsia" w:asciiTheme="minorEastAsia" w:hAnsiTheme="minorEastAsia" w:eastAsiaTheme="minorEastAsia"/>
          <w:sz w:val="28"/>
          <w:szCs w:val="28"/>
        </w:rPr>
        <w:t>授权</w:t>
      </w:r>
      <w:r>
        <w:rPr>
          <w:rFonts w:hint="eastAsia" w:asciiTheme="minorEastAsia" w:hAnsiTheme="minorEastAsia" w:eastAsiaTheme="minorEastAsia"/>
          <w:sz w:val="28"/>
          <w:szCs w:val="28"/>
          <w:u w:val="single"/>
        </w:rPr>
        <w:t>（姓  名）（职  务）</w:t>
      </w:r>
      <w:r>
        <w:rPr>
          <w:rFonts w:hint="eastAsia" w:asciiTheme="minorEastAsia" w:hAnsiTheme="minorEastAsia" w:eastAsiaTheme="minorEastAsia"/>
          <w:sz w:val="28"/>
          <w:szCs w:val="28"/>
        </w:rPr>
        <w:t>为全权代表，参加</w:t>
      </w:r>
      <w:r>
        <w:rPr>
          <w:rFonts w:hint="eastAsia" w:asciiTheme="minorEastAsia" w:hAnsiTheme="minorEastAsia" w:eastAsiaTheme="minorEastAsia"/>
          <w:b/>
          <w:sz w:val="28"/>
          <w:szCs w:val="28"/>
          <w:u w:val="single"/>
        </w:rPr>
        <w:t>地面水厂二泵房的</w:t>
      </w:r>
      <w:r>
        <w:rPr>
          <w:rFonts w:hint="eastAsia" w:asciiTheme="minorEastAsia" w:hAnsiTheme="minorEastAsia" w:eastAsiaTheme="minorEastAsia"/>
          <w:b/>
          <w:bCs/>
          <w:sz w:val="28"/>
          <w:szCs w:val="28"/>
          <w:u w:val="single"/>
        </w:rPr>
        <w:t>一号和三号DN800阀门电动启闭装置</w:t>
      </w:r>
      <w:r>
        <w:rPr>
          <w:rFonts w:hint="eastAsia" w:asciiTheme="minorEastAsia" w:hAnsiTheme="minorEastAsia" w:eastAsiaTheme="minorEastAsia"/>
          <w:sz w:val="28"/>
          <w:szCs w:val="28"/>
        </w:rPr>
        <w:t>询价的有关活动，并宣布同意如下：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1．我方愿意按照报价文件的全部要求进行报价（报价内容及价格以报价文件为准）。</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2．我方完全理解并同意放弃对邀标文件有不明及误解的权利。</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3．我方将按邀标文件的规定履行合同责任和义务。</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4．我方同意提供按照贵方可能要求的与其报价有关的一切数据或资料，理解并同意贵方的评标办法。</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5．我方的报价文件自开标后60天内有效。</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6．与本报价有关的一切往来通讯请寄：</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邮编：</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电话：</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传真：</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报价单位代表姓名：</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职务：</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报价单位代表手机：</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报价单位名称：</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（加盖单位公章）</w:t>
      </w:r>
    </w:p>
    <w:p>
      <w:pPr>
        <w:spacing w:line="500" w:lineRule="exact"/>
        <w:ind w:firstLine="560" w:firstLineChars="200"/>
        <w:rPr>
          <w:rFonts w:asciiTheme="minorEastAsia" w:hAnsiTheme="minorEastAsia" w:eastAsiaTheme="minorEastAsia"/>
          <w:sz w:val="28"/>
          <w:szCs w:val="28"/>
        </w:rPr>
      </w:pPr>
    </w:p>
    <w:p>
      <w:pPr>
        <w:spacing w:line="500" w:lineRule="exact"/>
        <w:ind w:firstLine="5320" w:firstLineChars="19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年     月     日　　</w:t>
      </w: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bookmarkEnd w:id="2"/>
    <w:p>
      <w:pPr>
        <w:spacing w:line="560" w:lineRule="exact"/>
        <w:rPr>
          <w:rFonts w:ascii="仿宋_GB2312" w:eastAsia="仿宋_GB2312"/>
          <w:b/>
          <w:bCs/>
          <w:sz w:val="36"/>
          <w:szCs w:val="36"/>
        </w:rPr>
      </w:pPr>
      <w:r>
        <w:rPr>
          <w:rFonts w:hint="eastAsia" w:ascii="宋体" w:hAnsi="宋体" w:cs="宋体"/>
          <w:b/>
          <w:bCs/>
          <w:sz w:val="36"/>
          <w:szCs w:val="36"/>
        </w:rPr>
        <w:t>附件二：</w:t>
      </w:r>
    </w:p>
    <w:p>
      <w:pPr>
        <w:spacing w:line="560" w:lineRule="exact"/>
        <w:rPr>
          <w:rFonts w:ascii="仿宋_GB2312" w:eastAsia="仿宋_GB2312"/>
          <w:sz w:val="32"/>
          <w:szCs w:val="32"/>
        </w:rPr>
      </w:pPr>
    </w:p>
    <w:p>
      <w:pPr>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授权委托书</w:t>
      </w:r>
    </w:p>
    <w:p>
      <w:pPr>
        <w:spacing w:line="560" w:lineRule="exact"/>
        <w:jc w:val="center"/>
        <w:rPr>
          <w:rFonts w:asciiTheme="minorEastAsia" w:hAnsiTheme="minorEastAsia" w:eastAsiaTheme="minorEastAsia"/>
          <w:sz w:val="28"/>
          <w:szCs w:val="28"/>
        </w:rPr>
      </w:pP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启东市自来水厂有限公司</w:t>
      </w:r>
      <w:r>
        <w:rPr>
          <w:rFonts w:hint="eastAsia" w:cs="宋体" w:asciiTheme="minorEastAsia" w:hAnsiTheme="minorEastAsia" w:eastAsiaTheme="minorEastAsia"/>
          <w:sz w:val="28"/>
          <w:szCs w:val="28"/>
        </w:rPr>
        <w:t>：</w:t>
      </w:r>
    </w:p>
    <w:p>
      <w:pPr>
        <w:spacing w:line="560" w:lineRule="exact"/>
        <w:ind w:firstLine="560" w:firstLineChars="200"/>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我公司授权我公司员工</w:t>
      </w:r>
      <w:r>
        <w:rPr>
          <w:rFonts w:hint="eastAsia" w:cs="宋体" w:asciiTheme="minorEastAsia" w:hAnsiTheme="minorEastAsia" w:eastAsiaTheme="minorEastAsia"/>
          <w:sz w:val="28"/>
          <w:szCs w:val="28"/>
          <w:u w:val="single"/>
        </w:rPr>
        <w:t xml:space="preserve">     （身份证号码为：                     </w:t>
      </w:r>
      <w:r>
        <w:rPr>
          <w:rFonts w:hint="eastAsia" w:cs="宋体" w:asciiTheme="minorEastAsia" w:hAnsiTheme="minorEastAsia" w:eastAsiaTheme="minorEastAsia"/>
          <w:sz w:val="28"/>
          <w:szCs w:val="28"/>
        </w:rPr>
        <w:t>）参加贵单位项目的内部邀请招标。</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授权范围如下：</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递交相关文件资料、参加投标、议价、签署相关文件及与本次招标活动相关的工作内容，该代理人代表在投标、开标、评标过程中签署的一切文件和处理与之有关的一切事务，我公司均予以确认并承担相应法律责任。  </w:t>
      </w:r>
    </w:p>
    <w:p>
      <w:pPr>
        <w:spacing w:line="560" w:lineRule="exact"/>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本授权期限自    年   月  日起至    年   月  日止。</w:t>
      </w:r>
    </w:p>
    <w:p>
      <w:pPr>
        <w:spacing w:line="560" w:lineRule="exact"/>
        <w:jc w:val="left"/>
        <w:rPr>
          <w:rFonts w:asciiTheme="minorEastAsia" w:hAnsiTheme="minorEastAsia" w:eastAsiaTheme="minorEastAsia"/>
          <w:sz w:val="28"/>
          <w:szCs w:val="28"/>
        </w:rPr>
      </w:pPr>
    </w:p>
    <w:p>
      <w:pPr>
        <w:spacing w:line="560" w:lineRule="exact"/>
        <w:jc w:val="left"/>
        <w:rPr>
          <w:rFonts w:asciiTheme="minorEastAsia" w:hAnsiTheme="minorEastAsia" w:eastAsiaTheme="minorEastAsia"/>
          <w:sz w:val="28"/>
          <w:szCs w:val="28"/>
        </w:rPr>
      </w:pPr>
    </w:p>
    <w:p>
      <w:pPr>
        <w:spacing w:line="560" w:lineRule="exact"/>
        <w:ind w:right="560" w:firstLine="4760" w:firstLineChars="17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投标人（盖公章）：</w:t>
      </w:r>
    </w:p>
    <w:p>
      <w:pPr>
        <w:spacing w:line="560" w:lineRule="exact"/>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法定代表人（签字或盖章）：</w:t>
      </w:r>
    </w:p>
    <w:p>
      <w:pPr>
        <w:spacing w:line="560" w:lineRule="exact"/>
        <w:ind w:right="560" w:firstLine="4760" w:firstLineChars="17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被授权人签字：</w:t>
      </w:r>
    </w:p>
    <w:p>
      <w:pPr>
        <w:spacing w:line="560" w:lineRule="exact"/>
        <w:ind w:right="560"/>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日期：    年   月  日</w:t>
      </w:r>
    </w:p>
    <w:p>
      <w:pPr>
        <w:pStyle w:val="2"/>
        <w:rPr>
          <w:rFonts w:ascii="宋体" w:hAnsi="宋体" w:cs="宋体"/>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ind w:leftChars="-95" w:hanging="199" w:hangingChars="55"/>
        <w:rPr>
          <w:rFonts w:ascii="宋体" w:hAnsi="宋体" w:cs="宋体"/>
          <w:b/>
          <w:bCs/>
          <w:sz w:val="36"/>
          <w:szCs w:val="36"/>
        </w:rPr>
      </w:pPr>
    </w:p>
    <w:p>
      <w:pPr>
        <w:widowControl/>
        <w:jc w:val="left"/>
        <w:rPr>
          <w:rFonts w:ascii="宋体" w:hAnsi="宋体" w:cs="宋体"/>
          <w:b/>
          <w:bCs/>
          <w:color w:val="000000"/>
          <w:sz w:val="36"/>
          <w:szCs w:val="36"/>
        </w:rPr>
      </w:pPr>
      <w:r>
        <w:rPr>
          <w:rFonts w:hint="eastAsia" w:ascii="宋体" w:hAnsi="宋体" w:cs="宋体"/>
          <w:b/>
          <w:bCs/>
          <w:color w:val="000000"/>
          <w:sz w:val="36"/>
          <w:szCs w:val="36"/>
        </w:rPr>
        <w:t>附件三：</w:t>
      </w:r>
    </w:p>
    <w:p>
      <w:pPr>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投标函</w:t>
      </w:r>
    </w:p>
    <w:p>
      <w:pPr>
        <w:pStyle w:val="2"/>
        <w:spacing w:line="560" w:lineRule="exact"/>
        <w:ind w:firstLine="0"/>
        <w:rPr>
          <w:rFonts w:cs="宋体" w:asciiTheme="minorEastAsia" w:hAnsiTheme="minorEastAsia" w:eastAsiaTheme="minorEastAsia"/>
          <w:color w:val="000000"/>
          <w:sz w:val="28"/>
          <w:szCs w:val="28"/>
          <w:u w:val="single"/>
        </w:rPr>
      </w:pPr>
    </w:p>
    <w:p>
      <w:pPr>
        <w:pStyle w:val="2"/>
        <w:spacing w:line="560" w:lineRule="exact"/>
        <w:ind w:firstLine="0"/>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启东市自来水厂有限公司：</w:t>
      </w:r>
    </w:p>
    <w:p>
      <w:pPr>
        <w:pStyle w:val="2"/>
        <w:spacing w:line="560" w:lineRule="exact"/>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贵单位关于</w:t>
      </w:r>
      <w:r>
        <w:rPr>
          <w:rFonts w:hint="eastAsia" w:cs="宋体" w:asciiTheme="minorEastAsia" w:hAnsiTheme="minorEastAsia" w:eastAsiaTheme="minorEastAsia"/>
          <w:kern w:val="2"/>
          <w:sz w:val="28"/>
          <w:szCs w:val="28"/>
          <w:u w:val="single"/>
        </w:rPr>
        <w:t xml:space="preserve">                    </w:t>
      </w:r>
      <w:r>
        <w:rPr>
          <w:rFonts w:hint="eastAsia" w:cs="宋体" w:asciiTheme="minorEastAsia" w:hAnsiTheme="minorEastAsia" w:eastAsiaTheme="minorEastAsia"/>
          <w:kern w:val="2"/>
          <w:sz w:val="28"/>
          <w:szCs w:val="28"/>
        </w:rPr>
        <w:t>项目的《招标邀请函》及相关附件我单位已收悉，并对项目的现状及具体招标要求已充分了解并接受。</w:t>
      </w:r>
    </w:p>
    <w:p>
      <w:pPr>
        <w:pStyle w:val="2"/>
        <w:spacing w:line="560" w:lineRule="exact"/>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我单位经过对项目现场现状的考察、充分市场调研后，特报价（含税）</w:t>
      </w:r>
      <w:r>
        <w:rPr>
          <w:rFonts w:hint="eastAsia" w:cs="宋体" w:asciiTheme="minorEastAsia" w:hAnsiTheme="minorEastAsia" w:eastAsiaTheme="minorEastAsia"/>
          <w:b/>
          <w:kern w:val="2"/>
          <w:sz w:val="28"/>
          <w:szCs w:val="28"/>
        </w:rPr>
        <w:t>人民币大写</w:t>
      </w:r>
      <w:r>
        <w:rPr>
          <w:rFonts w:hint="eastAsia" w:cs="宋体" w:asciiTheme="minorEastAsia" w:hAnsiTheme="minorEastAsia" w:eastAsiaTheme="minorEastAsia"/>
          <w:b/>
          <w:kern w:val="2"/>
          <w:sz w:val="28"/>
          <w:szCs w:val="28"/>
          <w:u w:val="single"/>
        </w:rPr>
        <w:t xml:space="preserve">          </w:t>
      </w:r>
      <w:r>
        <w:rPr>
          <w:rFonts w:hint="eastAsia" w:cs="宋体" w:asciiTheme="minorEastAsia" w:hAnsiTheme="minorEastAsia" w:eastAsiaTheme="minorEastAsia"/>
          <w:b/>
          <w:kern w:val="2"/>
          <w:sz w:val="28"/>
          <w:szCs w:val="28"/>
        </w:rPr>
        <w:t>元整（小写：</w:t>
      </w:r>
      <w:r>
        <w:rPr>
          <w:rFonts w:hint="eastAsia" w:cs="宋体" w:asciiTheme="minorEastAsia" w:hAnsiTheme="minorEastAsia" w:eastAsiaTheme="minorEastAsia"/>
          <w:b/>
          <w:kern w:val="2"/>
          <w:sz w:val="28"/>
          <w:szCs w:val="28"/>
          <w:u w:val="single"/>
        </w:rPr>
        <w:t xml:space="preserve">         </w:t>
      </w:r>
      <w:r>
        <w:rPr>
          <w:rFonts w:hint="eastAsia" w:cs="宋体" w:asciiTheme="minorEastAsia" w:hAnsiTheme="minorEastAsia" w:eastAsiaTheme="minorEastAsia"/>
          <w:b/>
          <w:kern w:val="2"/>
          <w:sz w:val="28"/>
          <w:szCs w:val="28"/>
        </w:rPr>
        <w:t>），清单明细详见附件。</w:t>
      </w:r>
    </w:p>
    <w:p>
      <w:pPr>
        <w:pStyle w:val="2"/>
        <w:spacing w:line="560" w:lineRule="exact"/>
        <w:rPr>
          <w:rFonts w:cs="宋体" w:asciiTheme="minorEastAsia" w:hAnsiTheme="minorEastAsia" w:eastAsiaTheme="minorEastAsia"/>
          <w:b/>
          <w:kern w:val="2"/>
          <w:sz w:val="28"/>
          <w:szCs w:val="28"/>
        </w:rPr>
      </w:pPr>
      <w:r>
        <w:rPr>
          <w:rFonts w:hint="eastAsia" w:cs="宋体" w:asciiTheme="minorEastAsia" w:hAnsiTheme="minorEastAsia" w:eastAsiaTheme="minorEastAsia"/>
          <w:kern w:val="2"/>
          <w:sz w:val="28"/>
          <w:szCs w:val="28"/>
        </w:rPr>
        <w:t xml:space="preserve"> 我单位承诺：</w:t>
      </w:r>
      <w:r>
        <w:rPr>
          <w:rFonts w:hint="eastAsia" w:cs="宋体" w:asciiTheme="minorEastAsia" w:hAnsiTheme="minorEastAsia" w:eastAsiaTheme="minorEastAsia"/>
          <w:b/>
          <w:kern w:val="2"/>
          <w:sz w:val="28"/>
          <w:szCs w:val="28"/>
        </w:rPr>
        <w:t>将严格遵照《中华人民共和国招标投标法》、《中华人民共和国政府采购法》等有关法律法规及《招标邀请函》要求参与贵单位投标活动，若中标后将积极、善意履约合同，并接受城投公司供应商考核办法的约束，《招标邀请书》和《投标函》及相关文件将构成约束双方合同的一部分。</w:t>
      </w:r>
    </w:p>
    <w:p>
      <w:pPr>
        <w:pStyle w:val="2"/>
        <w:spacing w:line="560" w:lineRule="exact"/>
        <w:ind w:firstLine="0"/>
        <w:rPr>
          <w:rFonts w:asciiTheme="minorEastAsia" w:hAnsiTheme="minorEastAsia" w:eastAsiaTheme="minorEastAsia"/>
          <w:kern w:val="2"/>
          <w:sz w:val="28"/>
          <w:szCs w:val="28"/>
        </w:rPr>
      </w:pPr>
    </w:p>
    <w:p>
      <w:pPr>
        <w:pStyle w:val="2"/>
        <w:spacing w:line="560" w:lineRule="exact"/>
        <w:ind w:firstLine="0"/>
        <w:rPr>
          <w:rFonts w:asciiTheme="minorEastAsia" w:hAnsiTheme="minorEastAsia" w:eastAsiaTheme="minorEastAsia"/>
          <w:kern w:val="2"/>
          <w:sz w:val="28"/>
          <w:szCs w:val="28"/>
        </w:rPr>
      </w:pPr>
    </w:p>
    <w:p>
      <w:pPr>
        <w:pStyle w:val="2"/>
        <w:spacing w:line="560" w:lineRule="exact"/>
        <w:ind w:firstLine="0"/>
        <w:rPr>
          <w:rFonts w:asciiTheme="minorEastAsia" w:hAnsiTheme="minorEastAsia" w:eastAsiaTheme="minorEastAsia"/>
          <w:kern w:val="2"/>
          <w:sz w:val="28"/>
          <w:szCs w:val="28"/>
        </w:rPr>
      </w:pPr>
    </w:p>
    <w:p>
      <w:pPr>
        <w:pStyle w:val="2"/>
        <w:spacing w:line="560" w:lineRule="exact"/>
        <w:ind w:firstLine="0"/>
        <w:jc w:val="center"/>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投标人(盖公章)：</w:t>
      </w:r>
    </w:p>
    <w:p>
      <w:pPr>
        <w:spacing w:line="56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法定代表人（签字或盖章）：</w:t>
      </w:r>
    </w:p>
    <w:p>
      <w:pPr>
        <w:spacing w:line="56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日期：</w:t>
      </w:r>
    </w:p>
    <w:p>
      <w:pPr>
        <w:spacing w:line="560" w:lineRule="exact"/>
        <w:rPr>
          <w:rFonts w:cs="宋体" w:asciiTheme="minorEastAsia" w:hAnsiTheme="minorEastAsia" w:eastAsiaTheme="minorEastAsia"/>
          <w:sz w:val="28"/>
          <w:szCs w:val="28"/>
        </w:rPr>
      </w:pPr>
    </w:p>
    <w:p>
      <w:pPr>
        <w:spacing w:line="560" w:lineRule="exact"/>
        <w:ind w:firstLine="140" w:firstLineChars="5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附：被授权人身份证复印件</w:t>
      </w:r>
    </w:p>
    <w:p>
      <w:pPr>
        <w:spacing w:line="560" w:lineRule="exact"/>
        <w:rPr>
          <w:rFonts w:asciiTheme="minorEastAsia" w:hAnsiTheme="minorEastAsia" w:eastAsiaTheme="minorEastAsia"/>
          <w:sz w:val="28"/>
          <w:szCs w:val="28"/>
        </w:rPr>
      </w:pPr>
    </w:p>
    <w:p>
      <w:pPr>
        <w:pStyle w:val="2"/>
        <w:ind w:firstLine="0"/>
        <w:rPr>
          <w:rFonts w:ascii="宋体" w:hAnsi="宋体" w:cs="宋体"/>
          <w:b/>
          <w:bCs/>
          <w:sz w:val="36"/>
          <w:szCs w:val="36"/>
        </w:rPr>
      </w:pPr>
      <w:r>
        <w:rPr>
          <w:rFonts w:hint="eastAsia" w:ascii="宋体" w:hAnsi="宋体" w:cs="宋体"/>
          <w:b/>
          <w:bCs/>
          <w:sz w:val="36"/>
          <w:szCs w:val="36"/>
        </w:rPr>
        <w:t>附件四：</w:t>
      </w:r>
    </w:p>
    <w:p>
      <w:pPr>
        <w:ind w:firstLine="442" w:firstLineChars="10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报价表</w:t>
      </w:r>
    </w:p>
    <w:p>
      <w:pPr>
        <w:ind w:firstLine="281" w:firstLineChars="100"/>
        <w:jc w:val="center"/>
        <w:rPr>
          <w:rFonts w:cs="仿宋" w:asciiTheme="minorEastAsia" w:hAnsiTheme="minorEastAsia" w:eastAsiaTheme="minorEastAsia"/>
          <w:b/>
          <w:color w:val="333333"/>
          <w:kern w:val="0"/>
          <w:sz w:val="28"/>
          <w:szCs w:val="28"/>
          <w:shd w:val="clear" w:color="auto" w:fill="FFFFFF"/>
        </w:rPr>
      </w:pPr>
      <w:r>
        <w:rPr>
          <w:rFonts w:hint="eastAsia" w:cs="仿宋" w:asciiTheme="minorEastAsia" w:hAnsiTheme="minorEastAsia" w:eastAsiaTheme="minorEastAsia"/>
          <w:b/>
          <w:color w:val="333333"/>
          <w:kern w:val="0"/>
          <w:sz w:val="28"/>
          <w:szCs w:val="28"/>
          <w:shd w:val="clear" w:color="auto" w:fill="FFFFFF"/>
        </w:rPr>
        <w:t>地面水厂二泵房一号和三号DN800阀门电动启闭装置采购项目</w:t>
      </w:r>
    </w:p>
    <w:tbl>
      <w:tblPr>
        <w:tblStyle w:val="8"/>
        <w:tblW w:w="5807" w:type="pct"/>
        <w:jc w:val="center"/>
        <w:tblLayout w:type="fixed"/>
        <w:tblCellMar>
          <w:top w:w="0" w:type="dxa"/>
          <w:left w:w="0" w:type="dxa"/>
          <w:bottom w:w="0" w:type="dxa"/>
          <w:right w:w="0" w:type="dxa"/>
        </w:tblCellMar>
      </w:tblPr>
      <w:tblGrid>
        <w:gridCol w:w="657"/>
        <w:gridCol w:w="2039"/>
        <w:gridCol w:w="864"/>
        <w:gridCol w:w="996"/>
        <w:gridCol w:w="1272"/>
        <w:gridCol w:w="1416"/>
        <w:gridCol w:w="986"/>
        <w:gridCol w:w="1451"/>
      </w:tblGrid>
      <w:tr>
        <w:tblPrEx>
          <w:tblCellMar>
            <w:top w:w="0" w:type="dxa"/>
            <w:left w:w="0" w:type="dxa"/>
            <w:bottom w:w="0" w:type="dxa"/>
            <w:right w:w="0" w:type="dxa"/>
          </w:tblCellMar>
        </w:tblPrEx>
        <w:trPr>
          <w:trHeight w:val="749" w:hRule="atLeast"/>
          <w:jc w:val="center"/>
        </w:trPr>
        <w:tc>
          <w:tcPr>
            <w:tcW w:w="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jc w:val="center"/>
              <w:rPr>
                <w:rFonts w:cs="宋体" w:asciiTheme="minorEastAsia" w:hAnsiTheme="minorEastAsia" w:eastAsiaTheme="minorEastAsia"/>
                <w:b/>
                <w:bCs/>
                <w:color w:val="000000"/>
                <w:sz w:val="28"/>
                <w:szCs w:val="28"/>
              </w:rPr>
            </w:pPr>
            <w:r>
              <w:rPr>
                <w:rFonts w:hint="eastAsia" w:cs="仿宋" w:asciiTheme="minorEastAsia" w:hAnsiTheme="minorEastAsia" w:eastAsiaTheme="minorEastAsia"/>
                <w:b/>
                <w:bCs/>
                <w:sz w:val="28"/>
                <w:szCs w:val="28"/>
              </w:rPr>
              <w:t>序号</w:t>
            </w: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宋体" w:asciiTheme="minorEastAsia" w:hAnsiTheme="minorEastAsia" w:eastAsiaTheme="minorEastAsia"/>
                <w:b/>
                <w:bCs/>
                <w:color w:val="000000"/>
                <w:sz w:val="28"/>
                <w:szCs w:val="28"/>
              </w:rPr>
            </w:pPr>
            <w:r>
              <w:rPr>
                <w:rFonts w:hint="eastAsia" w:cs="仿宋" w:asciiTheme="minorEastAsia" w:hAnsiTheme="minorEastAsia" w:eastAsiaTheme="minorEastAsia"/>
                <w:b/>
                <w:bCs/>
                <w:sz w:val="28"/>
                <w:szCs w:val="28"/>
              </w:rPr>
              <w:t>阀门规格</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宋体" w:asciiTheme="minorEastAsia" w:hAnsiTheme="minorEastAsia" w:eastAsiaTheme="minorEastAsia"/>
                <w:b/>
                <w:bCs/>
                <w:color w:val="000000"/>
                <w:kern w:val="0"/>
                <w:sz w:val="28"/>
                <w:szCs w:val="28"/>
              </w:rPr>
            </w:pPr>
            <w:r>
              <w:rPr>
                <w:rFonts w:hint="eastAsia" w:cs="仿宋" w:asciiTheme="minorEastAsia" w:hAnsiTheme="minorEastAsia" w:eastAsiaTheme="minorEastAsia"/>
                <w:b/>
                <w:bCs/>
                <w:sz w:val="28"/>
                <w:szCs w:val="28"/>
              </w:rPr>
              <w:t>数量</w:t>
            </w:r>
          </w:p>
        </w:tc>
        <w:tc>
          <w:tcPr>
            <w:tcW w:w="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宋体" w:asciiTheme="minorEastAsia" w:hAnsiTheme="minorEastAsia" w:eastAsiaTheme="minorEastAsia"/>
                <w:b/>
                <w:bCs/>
                <w:color w:val="000000"/>
                <w:kern w:val="0"/>
                <w:sz w:val="28"/>
                <w:szCs w:val="28"/>
              </w:rPr>
            </w:pPr>
            <w:r>
              <w:rPr>
                <w:rFonts w:hint="eastAsia" w:cs="仿宋" w:asciiTheme="minorEastAsia" w:hAnsiTheme="minorEastAsia" w:eastAsiaTheme="minorEastAsia"/>
                <w:b/>
                <w:bCs/>
                <w:sz w:val="28"/>
                <w:szCs w:val="28"/>
              </w:rPr>
              <w:t>单位</w:t>
            </w: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宋体" w:asciiTheme="minorEastAsia" w:hAnsiTheme="minorEastAsia" w:eastAsiaTheme="minorEastAsia"/>
                <w:b/>
                <w:bCs/>
                <w:color w:val="000000"/>
                <w:kern w:val="0"/>
                <w:sz w:val="28"/>
                <w:szCs w:val="28"/>
              </w:rPr>
            </w:pPr>
            <w:r>
              <w:rPr>
                <w:rFonts w:hint="eastAsia" w:cs="仿宋" w:asciiTheme="minorEastAsia" w:hAnsiTheme="minorEastAsia" w:eastAsiaTheme="minorEastAsia"/>
                <w:b/>
                <w:bCs/>
                <w:sz w:val="28"/>
                <w:szCs w:val="28"/>
              </w:rPr>
              <w:t>扭矩</w:t>
            </w:r>
          </w:p>
        </w:tc>
        <w:tc>
          <w:tcPr>
            <w:tcW w:w="1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atLeast"/>
              <w:jc w:val="center"/>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单价</w:t>
            </w:r>
          </w:p>
          <w:p>
            <w:pPr>
              <w:widowControl/>
              <w:spacing w:line="300" w:lineRule="atLeast"/>
              <w:jc w:val="center"/>
              <w:rPr>
                <w:rFonts w:cs="仿宋" w:asciiTheme="minorEastAsia" w:hAnsiTheme="minorEastAsia" w:eastAsiaTheme="minorEastAsia"/>
                <w:sz w:val="28"/>
                <w:szCs w:val="28"/>
              </w:rPr>
            </w:pPr>
            <w:r>
              <w:rPr>
                <w:rFonts w:hint="eastAsia" w:cs="宋体" w:asciiTheme="minorEastAsia" w:hAnsiTheme="minorEastAsia" w:eastAsiaTheme="minorEastAsia"/>
                <w:b/>
                <w:bCs/>
                <w:kern w:val="0"/>
                <w:sz w:val="28"/>
                <w:szCs w:val="28"/>
              </w:rPr>
              <w:t>（元）</w:t>
            </w: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atLeast"/>
              <w:jc w:val="center"/>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总价</w:t>
            </w:r>
          </w:p>
          <w:p>
            <w:pPr>
              <w:widowControl/>
              <w:spacing w:line="300" w:lineRule="atLeast"/>
              <w:jc w:val="center"/>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（元）</w:t>
            </w: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atLeast"/>
              <w:jc w:val="center"/>
              <w:rPr>
                <w:rFonts w:cs="仿宋" w:asciiTheme="minorEastAsia" w:hAnsiTheme="minorEastAsia" w:eastAsiaTheme="minorEastAsia"/>
                <w:sz w:val="28"/>
                <w:szCs w:val="28"/>
              </w:rPr>
            </w:pPr>
            <w:r>
              <w:rPr>
                <w:rFonts w:hint="eastAsia" w:cs="宋体" w:asciiTheme="minorEastAsia" w:hAnsiTheme="minorEastAsia" w:eastAsiaTheme="minorEastAsia"/>
                <w:b/>
                <w:bCs/>
                <w:kern w:val="0"/>
                <w:sz w:val="28"/>
                <w:szCs w:val="28"/>
              </w:rPr>
              <w:t>是否满足技术参数要求（是/否）</w:t>
            </w:r>
          </w:p>
        </w:tc>
      </w:tr>
      <w:tr>
        <w:tblPrEx>
          <w:tblCellMar>
            <w:top w:w="0" w:type="dxa"/>
            <w:left w:w="0" w:type="dxa"/>
            <w:bottom w:w="0" w:type="dxa"/>
            <w:right w:w="0" w:type="dxa"/>
          </w:tblCellMar>
        </w:tblPrEx>
        <w:trPr>
          <w:trHeight w:val="888" w:hRule="atLeast"/>
          <w:jc w:val="center"/>
        </w:trPr>
        <w:tc>
          <w:tcPr>
            <w:tcW w:w="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1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r>
      <w:tr>
        <w:tblPrEx>
          <w:tblCellMar>
            <w:top w:w="0" w:type="dxa"/>
            <w:left w:w="0" w:type="dxa"/>
            <w:bottom w:w="0" w:type="dxa"/>
            <w:right w:w="0" w:type="dxa"/>
          </w:tblCellMar>
        </w:tblPrEx>
        <w:trPr>
          <w:trHeight w:val="745" w:hRule="atLeast"/>
          <w:jc w:val="center"/>
        </w:trPr>
        <w:tc>
          <w:tcPr>
            <w:tcW w:w="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left"/>
              <w:rPr>
                <w:rFonts w:cs="仿宋" w:asciiTheme="minorEastAsia" w:hAnsiTheme="minorEastAsia" w:eastAsiaTheme="minorEastAsia"/>
                <w:sz w:val="28"/>
                <w:szCs w:val="28"/>
              </w:rPr>
            </w:pPr>
          </w:p>
        </w:tc>
        <w:tc>
          <w:tcPr>
            <w:tcW w:w="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1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r>
      <w:tr>
        <w:tblPrEx>
          <w:tblCellMar>
            <w:top w:w="0" w:type="dxa"/>
            <w:left w:w="0" w:type="dxa"/>
            <w:bottom w:w="0" w:type="dxa"/>
            <w:right w:w="0" w:type="dxa"/>
          </w:tblCellMar>
        </w:tblPrEx>
        <w:trPr>
          <w:trHeight w:val="749" w:hRule="atLeast"/>
          <w:jc w:val="center"/>
        </w:trPr>
        <w:tc>
          <w:tcPr>
            <w:tcW w:w="6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2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9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12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14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40" w:lineRule="exact"/>
              <w:ind w:left="90" w:leftChars="43"/>
              <w:jc w:val="center"/>
              <w:rPr>
                <w:rFonts w:cs="仿宋" w:asciiTheme="minorEastAsia" w:hAnsiTheme="minorEastAsia" w:eastAsiaTheme="minorEastAsia"/>
                <w:sz w:val="28"/>
                <w:szCs w:val="28"/>
              </w:rPr>
            </w:pPr>
          </w:p>
        </w:tc>
      </w:tr>
      <w:tr>
        <w:tblPrEx>
          <w:tblCellMar>
            <w:top w:w="0" w:type="dxa"/>
            <w:left w:w="0" w:type="dxa"/>
            <w:bottom w:w="0" w:type="dxa"/>
            <w:right w:w="0" w:type="dxa"/>
          </w:tblCellMar>
        </w:tblPrEx>
        <w:trPr>
          <w:trHeight w:val="628" w:hRule="atLeast"/>
          <w:jc w:val="center"/>
        </w:trPr>
        <w:tc>
          <w:tcPr>
            <w:tcW w:w="9683" w:type="dxa"/>
            <w:gridSpan w:val="8"/>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textAlignment w:val="center"/>
              <w:rPr>
                <w:rFonts w:asciiTheme="minorEastAsia" w:hAnsiTheme="minorEastAsia" w:eastAsiaTheme="minorEastAsia"/>
                <w:sz w:val="28"/>
                <w:szCs w:val="28"/>
              </w:rPr>
            </w:pPr>
            <w:r>
              <w:rPr>
                <w:rFonts w:hint="eastAsia" w:cs="仿宋" w:asciiTheme="minorEastAsia" w:hAnsiTheme="minorEastAsia" w:eastAsiaTheme="minorEastAsia"/>
                <w:b/>
                <w:bCs/>
                <w:sz w:val="28"/>
                <w:szCs w:val="28"/>
              </w:rPr>
              <w:t>合计大写：小写：</w:t>
            </w:r>
          </w:p>
        </w:tc>
      </w:tr>
    </w:tbl>
    <w:p>
      <w:pPr>
        <w:widowControl/>
        <w:spacing w:before="466" w:after="452" w:line="420" w:lineRule="atLeast"/>
        <w:rPr>
          <w:rFonts w:asciiTheme="minorEastAsia" w:hAnsiTheme="minorEastAsia" w:eastAsiaTheme="minorEastAsia"/>
          <w:kern w:val="0"/>
          <w:sz w:val="28"/>
          <w:szCs w:val="28"/>
        </w:rPr>
      </w:pPr>
      <w:r>
        <w:rPr>
          <w:rFonts w:hint="eastAsia" w:cs="仿宋" w:asciiTheme="minorEastAsia" w:hAnsiTheme="minorEastAsia" w:eastAsiaTheme="minorEastAsia"/>
          <w:color w:val="333333"/>
          <w:kern w:val="0"/>
          <w:sz w:val="28"/>
          <w:szCs w:val="28"/>
          <w:u w:val="single"/>
          <w:shd w:val="clear" w:color="auto" w:fill="FFFFFF"/>
        </w:rPr>
        <w:t>本报价表须机打并加盖报价单位公章，手填无效。</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sz w:val="28"/>
          <w:szCs w:val="28"/>
        </w:rPr>
        <w:t>投标人(盖公章)：</w:t>
      </w:r>
      <w:r>
        <w:rPr>
          <w:rFonts w:hint="eastAsia" w:cs="宋体" w:asciiTheme="minorEastAsia" w:hAnsiTheme="minorEastAsia" w:eastAsiaTheme="minorEastAsia"/>
          <w:color w:val="333333"/>
          <w:kern w:val="0"/>
          <w:sz w:val="28"/>
          <w:szCs w:val="28"/>
          <w:shd w:val="clear" w:color="auto" w:fill="FFFFFF"/>
        </w:rPr>
        <w:t>：</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sz w:val="28"/>
          <w:szCs w:val="28"/>
        </w:rPr>
        <w:t>法定代表人或代理人（签字或盖章）</w:t>
      </w:r>
      <w:r>
        <w:rPr>
          <w:rFonts w:hint="eastAsia" w:cs="宋体" w:asciiTheme="minorEastAsia" w:hAnsiTheme="minorEastAsia" w:eastAsiaTheme="minorEastAsia"/>
          <w:color w:val="333333"/>
          <w:kern w:val="0"/>
          <w:sz w:val="28"/>
          <w:szCs w:val="28"/>
          <w:shd w:val="clear" w:color="auto" w:fill="FFFFFF"/>
        </w:rPr>
        <w:t>：</w:t>
      </w:r>
      <w:r>
        <w:rPr>
          <w:rFonts w:hint="eastAsia" w:cs="宋体" w:asciiTheme="minorEastAsia" w:hAnsiTheme="minorEastAsia" w:eastAsiaTheme="minorEastAsia"/>
          <w:color w:val="333333"/>
          <w:kern w:val="0"/>
          <w:sz w:val="28"/>
          <w:szCs w:val="28"/>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color w:val="333333"/>
          <w:kern w:val="0"/>
          <w:sz w:val="28"/>
          <w:szCs w:val="28"/>
          <w:shd w:val="clear" w:color="auto" w:fill="FFFFFF"/>
        </w:rPr>
        <w:t>联系电话：</w:t>
      </w:r>
      <w:r>
        <w:rPr>
          <w:rFonts w:hint="eastAsia" w:cs="宋体" w:asciiTheme="minorEastAsia" w:hAnsiTheme="minorEastAsia" w:eastAsiaTheme="minorEastAsia"/>
          <w:color w:val="333333"/>
          <w:kern w:val="0"/>
          <w:sz w:val="28"/>
          <w:szCs w:val="28"/>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r>
        <w:rPr>
          <w:rFonts w:hint="eastAsia" w:cs="宋体" w:asciiTheme="minorEastAsia" w:hAnsiTheme="minorEastAsia" w:eastAsiaTheme="minorEastAsia"/>
          <w:color w:val="333333"/>
          <w:kern w:val="0"/>
          <w:sz w:val="28"/>
          <w:szCs w:val="28"/>
          <w:shd w:val="clear" w:color="auto" w:fill="FFFFFF"/>
        </w:rPr>
        <w:t>时  间：</w:t>
      </w:r>
      <w:r>
        <w:rPr>
          <w:rFonts w:hint="eastAsia" w:cs="宋体" w:asciiTheme="minorEastAsia" w:hAnsiTheme="minorEastAsia" w:eastAsiaTheme="minorEastAsia"/>
          <w:color w:val="333333"/>
          <w:kern w:val="0"/>
          <w:sz w:val="28"/>
          <w:szCs w:val="28"/>
          <w:u w:val="single"/>
          <w:shd w:val="clear" w:color="auto" w:fill="FFFFFF"/>
        </w:rPr>
        <w:t xml:space="preserve">                 </w:t>
      </w:r>
    </w:p>
    <w:p>
      <w:pPr>
        <w:widowControl/>
        <w:spacing w:line="600" w:lineRule="exact"/>
        <w:rPr>
          <w:rFonts w:cs="宋体" w:asciiTheme="minorEastAsia" w:hAnsiTheme="minorEastAsia" w:eastAsiaTheme="minorEastAsia"/>
          <w:color w:val="333333"/>
          <w:kern w:val="0"/>
          <w:sz w:val="28"/>
          <w:szCs w:val="28"/>
          <w:u w:val="single"/>
          <w:shd w:val="clear" w:color="auto" w:fill="FFFFFF"/>
        </w:rPr>
      </w:pPr>
    </w:p>
    <w:p>
      <w:pPr>
        <w:widowControl/>
        <w:spacing w:line="600" w:lineRule="exact"/>
        <w:rPr>
          <w:rFonts w:cs="宋体" w:asciiTheme="minorEastAsia" w:hAnsiTheme="minorEastAsia" w:eastAsiaTheme="minorEastAsia"/>
          <w:color w:val="333333"/>
          <w:kern w:val="0"/>
          <w:sz w:val="28"/>
          <w:szCs w:val="28"/>
          <w:u w:val="single"/>
          <w:shd w:val="clear" w:color="auto" w:fill="FFFFFF"/>
        </w:rPr>
      </w:pPr>
    </w:p>
    <w:p>
      <w:pPr>
        <w:widowControl/>
        <w:spacing w:line="600" w:lineRule="exact"/>
        <w:rPr>
          <w:rFonts w:cs="宋体" w:asciiTheme="minorEastAsia" w:hAnsiTheme="minorEastAsia" w:eastAsiaTheme="minorEastAsia"/>
          <w:color w:val="333333"/>
          <w:kern w:val="0"/>
          <w:sz w:val="28"/>
          <w:szCs w:val="28"/>
          <w:u w:val="single"/>
          <w:shd w:val="clear" w:color="auto" w:fill="FFFFFF"/>
        </w:rPr>
      </w:pPr>
    </w:p>
    <w:p>
      <w:pPr>
        <w:widowControl/>
        <w:spacing w:line="600" w:lineRule="exact"/>
        <w:rPr>
          <w:rFonts w:cs="宋体" w:asciiTheme="minorEastAsia" w:hAnsiTheme="minorEastAsia" w:eastAsiaTheme="minorEastAsia"/>
          <w:color w:val="333333"/>
          <w:kern w:val="0"/>
          <w:sz w:val="28"/>
          <w:szCs w:val="28"/>
          <w:u w:val="single"/>
          <w:shd w:val="clear" w:color="auto" w:fill="FFFFFF"/>
        </w:rPr>
      </w:pPr>
    </w:p>
    <w:p>
      <w:pPr>
        <w:widowControl/>
        <w:spacing w:line="600" w:lineRule="exact"/>
        <w:rPr>
          <w:rFonts w:cs="宋体" w:asciiTheme="minorEastAsia" w:hAnsiTheme="minorEastAsia" w:eastAsiaTheme="minorEastAsia"/>
          <w:color w:val="333333"/>
          <w:kern w:val="0"/>
          <w:sz w:val="28"/>
          <w:szCs w:val="28"/>
          <w:u w:val="single"/>
          <w:shd w:val="clear" w:color="auto" w:fill="FFFFFF"/>
        </w:rPr>
      </w:pPr>
    </w:p>
    <w:p>
      <w:pPr>
        <w:pStyle w:val="2"/>
        <w:ind w:firstLine="0"/>
        <w:rPr>
          <w:rFonts w:ascii="宋体" w:hAnsi="宋体" w:cs="宋体"/>
          <w:b/>
          <w:bCs/>
          <w:sz w:val="36"/>
          <w:szCs w:val="36"/>
        </w:rPr>
      </w:pPr>
      <w:r>
        <w:rPr>
          <w:rFonts w:hint="eastAsia" w:ascii="宋体" w:hAnsi="宋体" w:cs="宋体"/>
          <w:b/>
          <w:bCs/>
          <w:sz w:val="36"/>
          <w:szCs w:val="36"/>
        </w:rPr>
        <w:t>附件五：</w:t>
      </w:r>
    </w:p>
    <w:p>
      <w:pPr>
        <w:ind w:firstLine="442" w:firstLineChars="10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质保承诺书</w:t>
      </w:r>
    </w:p>
    <w:p>
      <w:pPr>
        <w:spacing w:line="600" w:lineRule="exact"/>
        <w:rPr>
          <w:rFonts w:cs="Calibri" w:asciiTheme="minorEastAsia" w:hAnsiTheme="minorEastAsia" w:eastAsiaTheme="minorEastAsia"/>
          <w:sz w:val="28"/>
          <w:szCs w:val="28"/>
        </w:rPr>
      </w:pPr>
      <w:r>
        <w:rPr>
          <w:rFonts w:hint="eastAsia" w:cs="宋体" w:asciiTheme="minorEastAsia" w:hAnsiTheme="minorEastAsia" w:eastAsiaTheme="minorEastAsia"/>
          <w:sz w:val="28"/>
          <w:szCs w:val="28"/>
        </w:rPr>
        <w:t>启东市自来水厂有限公司</w:t>
      </w:r>
      <w:r>
        <w:rPr>
          <w:rFonts w:hint="eastAsia" w:cs="Calibri" w:asciiTheme="minorEastAsia" w:hAnsiTheme="minorEastAsia" w:eastAsiaTheme="minorEastAsia"/>
          <w:sz w:val="28"/>
          <w:szCs w:val="28"/>
        </w:rPr>
        <w:t>：</w:t>
      </w:r>
    </w:p>
    <w:p>
      <w:pPr>
        <w:snapToGrid w:val="0"/>
        <w:spacing w:line="600" w:lineRule="exact"/>
        <w:ind w:firstLine="560" w:firstLineChars="200"/>
        <w:rPr>
          <w:rFonts w:cs="Calibri" w:asciiTheme="minorEastAsia" w:hAnsiTheme="minorEastAsia" w:eastAsiaTheme="minorEastAsia"/>
          <w:sz w:val="28"/>
          <w:szCs w:val="28"/>
        </w:rPr>
      </w:pPr>
      <w:r>
        <w:rPr>
          <w:rFonts w:hint="eastAsia" w:cs="Calibri" w:asciiTheme="minorEastAsia" w:hAnsiTheme="minorEastAsia" w:eastAsiaTheme="minorEastAsia"/>
          <w:sz w:val="28"/>
          <w:szCs w:val="28"/>
          <w:u w:val="single"/>
        </w:rPr>
        <w:t>（单位全称）</w:t>
      </w:r>
      <w:r>
        <w:rPr>
          <w:rFonts w:hint="eastAsia" w:cs="Calibri" w:asciiTheme="minorEastAsia" w:hAnsiTheme="minorEastAsia" w:eastAsiaTheme="minorEastAsia"/>
          <w:sz w:val="28"/>
          <w:szCs w:val="28"/>
        </w:rPr>
        <w:t>授权</w:t>
      </w:r>
      <w:r>
        <w:rPr>
          <w:rFonts w:hint="eastAsia" w:cs="Calibri" w:asciiTheme="minorEastAsia" w:hAnsiTheme="minorEastAsia" w:eastAsiaTheme="minorEastAsia"/>
          <w:sz w:val="28"/>
          <w:szCs w:val="28"/>
          <w:u w:val="single"/>
        </w:rPr>
        <w:t>（姓  名）（职  务）</w:t>
      </w:r>
      <w:r>
        <w:rPr>
          <w:rFonts w:hint="eastAsia" w:cs="Calibri" w:asciiTheme="minorEastAsia" w:hAnsiTheme="minorEastAsia" w:eastAsiaTheme="minorEastAsia"/>
          <w:sz w:val="28"/>
          <w:szCs w:val="28"/>
        </w:rPr>
        <w:t>为全权代表，参加编号为</w:t>
      </w:r>
      <w:r>
        <w:rPr>
          <w:rFonts w:hint="eastAsia" w:asciiTheme="minorEastAsia" w:hAnsiTheme="minorEastAsia" w:eastAsiaTheme="minorEastAsia"/>
          <w:b/>
          <w:sz w:val="28"/>
          <w:szCs w:val="28"/>
          <w:u w:val="single"/>
        </w:rPr>
        <w:t>地面水厂二泵房的</w:t>
      </w:r>
      <w:r>
        <w:rPr>
          <w:rFonts w:hint="eastAsia" w:asciiTheme="minorEastAsia" w:hAnsiTheme="minorEastAsia" w:eastAsiaTheme="minorEastAsia"/>
          <w:b/>
          <w:bCs/>
          <w:sz w:val="28"/>
          <w:szCs w:val="28"/>
          <w:u w:val="single"/>
        </w:rPr>
        <w:t>一号和三号DN800阀门电动启闭装置采购项目</w:t>
      </w:r>
      <w:r>
        <w:rPr>
          <w:rFonts w:hint="eastAsia" w:cs="Calibri" w:asciiTheme="minorEastAsia" w:hAnsiTheme="minorEastAsia" w:eastAsiaTheme="minorEastAsia"/>
          <w:sz w:val="28"/>
          <w:szCs w:val="28"/>
        </w:rPr>
        <w:t>的有关活动，并宣布同意如下：</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1. 我方承诺对本项目货物清单表中所列的所有货物提供二年全免费质保（配件+人工）及售后服务。质保期内成交供应商应免费维修，质保期外的维修收费按国家和供应商的相关规定办理。所有设备质保时间为自验收合格之日起计。</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2. 在质保期内，同一商品、同一质量问题连续两次维修仍无法正常使用，供应商无条件给予全套更新或退货。</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3．在免费质保期内，</w:t>
      </w:r>
      <w:r>
        <w:rPr>
          <w:rFonts w:hint="eastAsia" w:asciiTheme="minorEastAsia" w:hAnsiTheme="minorEastAsia" w:eastAsiaTheme="minorEastAsia"/>
          <w:sz w:val="28"/>
          <w:szCs w:val="28"/>
        </w:rPr>
        <w:t>我方在接到用户单位电话通知后，须8小时之内上门服务并负责修复。如需更换货物或送修，在12小时内提供备用货物，并在5个工作日内负责维修完毕并送至用户单位处。如超时或未在规定的时间内及时处理故障，每次罚2000元扣款。</w:t>
      </w:r>
    </w:p>
    <w:p>
      <w:pPr>
        <w:spacing w:line="5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4．与本项目有关的一切往来通讯请寄：</w:t>
      </w:r>
    </w:p>
    <w:p>
      <w:pPr>
        <w:spacing w:line="600" w:lineRule="exact"/>
        <w:rPr>
          <w:rFonts w:cs="宋体" w:asciiTheme="minorEastAsia" w:hAnsiTheme="minorEastAsia" w:eastAsiaTheme="minorEastAsia"/>
          <w:sz w:val="28"/>
          <w:szCs w:val="28"/>
        </w:rPr>
      </w:pP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邮编：</w:t>
      </w:r>
      <w:r>
        <w:rPr>
          <w:rFonts w:hint="eastAsia" w:asciiTheme="minorEastAsia" w:hAnsiTheme="minorEastAsia" w:eastAsiaTheme="minorEastAsia"/>
          <w:sz w:val="28"/>
          <w:szCs w:val="28"/>
          <w:u w:val="single"/>
        </w:rPr>
        <w:t>　　　　　　　　　</w:t>
      </w:r>
    </w:p>
    <w:p>
      <w:pPr>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电话：</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传真：</w:t>
      </w:r>
      <w:r>
        <w:rPr>
          <w:rFonts w:hint="eastAsia" w:asciiTheme="minorEastAsia" w:hAnsiTheme="minorEastAsia" w:eastAsiaTheme="minorEastAsia"/>
          <w:sz w:val="28"/>
          <w:szCs w:val="28"/>
          <w:u w:val="single"/>
        </w:rPr>
        <w:t>　　　　　　　　　</w:t>
      </w:r>
    </w:p>
    <w:p>
      <w:pPr>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w:t>
      </w:r>
      <w:r>
        <w:rPr>
          <w:rFonts w:hint="eastAsia" w:asciiTheme="minorEastAsia" w:hAnsiTheme="minorEastAsia" w:eastAsiaTheme="minorEastAsia"/>
          <w:sz w:val="28"/>
          <w:szCs w:val="28"/>
          <w:u w:val="single"/>
        </w:rPr>
        <w:t>　　　　　　　　　</w:t>
      </w:r>
      <w:r>
        <w:rPr>
          <w:rFonts w:hint="eastAsia" w:asciiTheme="minorEastAsia" w:hAnsiTheme="minorEastAsia" w:eastAsiaTheme="minorEastAsia"/>
          <w:sz w:val="28"/>
          <w:szCs w:val="28"/>
        </w:rPr>
        <w:t>　职务：</w:t>
      </w:r>
      <w:r>
        <w:rPr>
          <w:rFonts w:hint="eastAsia" w:asciiTheme="minorEastAsia" w:hAnsiTheme="minorEastAsia" w:eastAsiaTheme="minorEastAsia"/>
          <w:sz w:val="28"/>
          <w:szCs w:val="28"/>
          <w:u w:val="single"/>
        </w:rPr>
        <w:t>　　　　　　　　　</w:t>
      </w:r>
    </w:p>
    <w:p>
      <w:pPr>
        <w:spacing w:line="500" w:lineRule="exact"/>
        <w:ind w:firstLine="560"/>
        <w:rPr>
          <w:rFonts w:asciiTheme="minorEastAsia" w:hAnsiTheme="minorEastAsia" w:eastAsiaTheme="minorEastAsia"/>
          <w:sz w:val="28"/>
          <w:szCs w:val="28"/>
        </w:rPr>
      </w:pPr>
    </w:p>
    <w:p>
      <w:pPr>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报价单位代表移动电话：</w:t>
      </w:r>
      <w:r>
        <w:rPr>
          <w:rFonts w:hint="eastAsia" w:asciiTheme="minorEastAsia" w:hAnsiTheme="minorEastAsia" w:eastAsiaTheme="minorEastAsia"/>
          <w:sz w:val="28"/>
          <w:szCs w:val="28"/>
          <w:u w:val="single"/>
        </w:rPr>
        <w:t>　　　　　　　　　</w:t>
      </w:r>
    </w:p>
    <w:p>
      <w:pPr>
        <w:spacing w:line="500" w:lineRule="exact"/>
        <w:ind w:firstLine="560" w:firstLineChars="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报价单位名称（加盖单位公章）：</w:t>
      </w:r>
      <w:r>
        <w:rPr>
          <w:rFonts w:hint="eastAsia" w:asciiTheme="minorEastAsia" w:hAnsiTheme="minorEastAsia" w:eastAsiaTheme="minorEastAsia"/>
          <w:sz w:val="28"/>
          <w:szCs w:val="28"/>
          <w:u w:val="single"/>
        </w:rPr>
        <w:t>　　　　　　　　　</w:t>
      </w:r>
    </w:p>
    <w:p>
      <w:pPr>
        <w:spacing w:line="500" w:lineRule="exact"/>
        <w:rPr>
          <w:rFonts w:asciiTheme="minorEastAsia" w:hAnsiTheme="minorEastAsia" w:eastAsiaTheme="minorEastAsia"/>
          <w:sz w:val="28"/>
          <w:szCs w:val="28"/>
        </w:rPr>
      </w:pPr>
    </w:p>
    <w:p>
      <w:pPr>
        <w:spacing w:line="560" w:lineRule="exact"/>
        <w:rPr>
          <w:rFonts w:cs="仿宋" w:asciiTheme="minorEastAsia" w:hAnsiTheme="minorEastAsia" w:eastAsiaTheme="minorEastAsia"/>
          <w:b/>
          <w:bCs/>
          <w:sz w:val="36"/>
          <w:szCs w:val="36"/>
        </w:rPr>
      </w:pPr>
      <w:r>
        <w:rPr>
          <w:rFonts w:hint="eastAsia" w:cs="仿宋" w:asciiTheme="minorEastAsia" w:hAnsiTheme="minorEastAsia" w:eastAsiaTheme="minorEastAsia"/>
          <w:b/>
          <w:bCs/>
          <w:sz w:val="36"/>
          <w:szCs w:val="36"/>
        </w:rPr>
        <w:t>附件六：</w:t>
      </w:r>
    </w:p>
    <w:p>
      <w:pP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参加采购活动前3年内在经营活动中没有重大违法记录的书面声明</w:t>
      </w:r>
    </w:p>
    <w:p>
      <w:pPr>
        <w:rPr>
          <w:rFonts w:asciiTheme="minorEastAsia" w:hAnsiTheme="minorEastAsia" w:eastAsiaTheme="minorEastAsia"/>
        </w:rPr>
      </w:pPr>
    </w:p>
    <w:p>
      <w:pPr>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我公司郑重声明：参加本次政府采购活动前 3 年内，我公司在经营活动中没有因违法经营受到刑事处罚或者责令停产停业、吊销许可证或者执照、较大数额罚款等行政处罚。</w:t>
      </w:r>
    </w:p>
    <w:p>
      <w:pPr>
        <w:ind w:firstLine="560" w:firstLineChars="200"/>
        <w:rPr>
          <w:rFonts w:cs="仿宋_GB2312" w:asciiTheme="minorEastAsia" w:hAnsiTheme="minorEastAsia" w:eastAsiaTheme="minorEastAsia"/>
          <w:bCs/>
          <w:sz w:val="28"/>
          <w:szCs w:val="28"/>
        </w:rPr>
      </w:pPr>
      <w:r>
        <w:rPr>
          <w:rFonts w:hint="eastAsia" w:cs="仿宋" w:asciiTheme="minorEastAsia" w:hAnsiTheme="minorEastAsia" w:eastAsiaTheme="minorEastAsia"/>
          <w:bCs/>
          <w:sz w:val="28"/>
          <w:szCs w:val="28"/>
        </w:rPr>
        <w:t>在</w:t>
      </w:r>
      <w:r>
        <w:rPr>
          <w:rFonts w:hint="eastAsia" w:cs="仿宋" w:asciiTheme="minorEastAsia" w:hAnsiTheme="minorEastAsia" w:eastAsiaTheme="minorEastAsia"/>
          <w:sz w:val="28"/>
          <w:szCs w:val="28"/>
        </w:rPr>
        <w:t>投标截止时间节点，没有被“信用中国”（www.creditchina.gov.cn）、“中国政府采购网”（www.ccgp.gov.cn）、“信用江苏”（http://credit.jiangsu.gov.cn/）网站列入失信被执行人、重大税收违法案件当事人名单、政府采购严重违法失信行为记录名单。</w:t>
      </w:r>
    </w:p>
    <w:p>
      <w:pPr>
        <w:rPr>
          <w:rFonts w:cs="仿宋_GB2312" w:asciiTheme="minorEastAsia" w:hAnsiTheme="minorEastAsia" w:eastAsiaTheme="minorEastAsia"/>
          <w:bCs/>
          <w:sz w:val="28"/>
          <w:szCs w:val="28"/>
        </w:rPr>
      </w:pPr>
    </w:p>
    <w:p>
      <w:pPr>
        <w:ind w:firstLine="4480" w:firstLineChars="16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投标单位名称（公章）：</w:t>
      </w:r>
    </w:p>
    <w:p>
      <w:pPr>
        <w:ind w:left="4760" w:hanging="4760" w:hangingChars="17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 xml:space="preserve">                                授权代表签字：</w:t>
      </w:r>
      <w:r>
        <w:rPr>
          <w:rFonts w:hint="eastAsia" w:cs="仿宋" w:asciiTheme="minorEastAsia" w:hAnsiTheme="minorEastAsia" w:eastAsiaTheme="minorEastAsia"/>
          <w:bCs/>
          <w:sz w:val="28"/>
          <w:szCs w:val="28"/>
          <w:u w:val="single"/>
        </w:rPr>
        <w:t>________</w:t>
      </w:r>
      <w:r>
        <w:rPr>
          <w:rFonts w:hint="eastAsia" w:cs="仿宋" w:asciiTheme="minorEastAsia" w:hAnsiTheme="minorEastAsia" w:eastAsiaTheme="minorEastAsia"/>
          <w:bCs/>
          <w:sz w:val="28"/>
          <w:szCs w:val="28"/>
        </w:rPr>
        <w:t xml:space="preserve">                      日期：</w:t>
      </w:r>
      <w:r>
        <w:rPr>
          <w:rFonts w:hint="eastAsia" w:cs="仿宋" w:asciiTheme="minorEastAsia" w:hAnsiTheme="minorEastAsia" w:eastAsiaTheme="minorEastAsia"/>
          <w:bCs/>
          <w:sz w:val="28"/>
          <w:szCs w:val="28"/>
          <w:u w:val="single"/>
        </w:rPr>
        <w:t>_____</w:t>
      </w:r>
      <w:r>
        <w:rPr>
          <w:rFonts w:hint="eastAsia" w:cs="仿宋" w:asciiTheme="minorEastAsia" w:hAnsiTheme="minorEastAsia" w:eastAsiaTheme="minorEastAsia"/>
          <w:bCs/>
          <w:sz w:val="28"/>
          <w:szCs w:val="28"/>
        </w:rPr>
        <w:t>年</w:t>
      </w:r>
      <w:r>
        <w:rPr>
          <w:rFonts w:hint="eastAsia" w:cs="仿宋" w:asciiTheme="minorEastAsia" w:hAnsiTheme="minorEastAsia" w:eastAsiaTheme="minorEastAsia"/>
          <w:bCs/>
          <w:sz w:val="28"/>
          <w:szCs w:val="28"/>
          <w:u w:val="single"/>
        </w:rPr>
        <w:t xml:space="preserve">    </w:t>
      </w:r>
      <w:r>
        <w:rPr>
          <w:rFonts w:hint="eastAsia" w:cs="仿宋" w:asciiTheme="minorEastAsia" w:hAnsiTheme="minorEastAsia" w:eastAsiaTheme="minorEastAsia"/>
          <w:bCs/>
          <w:sz w:val="28"/>
          <w:szCs w:val="28"/>
        </w:rPr>
        <w:t>月</w:t>
      </w:r>
      <w:r>
        <w:rPr>
          <w:rFonts w:hint="eastAsia" w:cs="仿宋" w:asciiTheme="minorEastAsia" w:hAnsiTheme="minorEastAsia" w:eastAsiaTheme="minorEastAsia"/>
          <w:bCs/>
          <w:sz w:val="28"/>
          <w:szCs w:val="28"/>
          <w:u w:val="single"/>
        </w:rPr>
        <w:t xml:space="preserve">     </w:t>
      </w:r>
      <w:r>
        <w:rPr>
          <w:rFonts w:hint="eastAsia" w:cs="仿宋" w:asciiTheme="minorEastAsia" w:hAnsiTheme="minorEastAsia" w:eastAsiaTheme="minorEastAsia"/>
          <w:bCs/>
          <w:sz w:val="28"/>
          <w:szCs w:val="28"/>
        </w:rPr>
        <w:t>日</w:t>
      </w:r>
    </w:p>
    <w:p>
      <w:pPr>
        <w:rPr>
          <w:rFonts w:asciiTheme="minorEastAsia" w:hAnsiTheme="minorEastAsia" w:eastAsiaTheme="minorEastAsia"/>
        </w:rPr>
      </w:pPr>
    </w:p>
    <w:p>
      <w:pPr>
        <w:spacing w:line="500" w:lineRule="exact"/>
        <w:rPr>
          <w:rFonts w:asciiTheme="minorEastAsia" w:hAnsiTheme="minorEastAsia" w:eastAsiaTheme="minorEastAsia"/>
          <w:sz w:val="28"/>
          <w:szCs w:val="28"/>
        </w:rPr>
      </w:pPr>
    </w:p>
    <w:p>
      <w:pPr>
        <w:spacing w:line="500" w:lineRule="exact"/>
        <w:ind w:firstLine="562" w:firstLineChars="200"/>
        <w:rPr>
          <w:rFonts w:asciiTheme="minorEastAsia" w:hAnsiTheme="minorEastAsia" w:eastAsiaTheme="minorEastAsia"/>
          <w:b/>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00295"/>
      <w:docPartObj>
        <w:docPartGallery w:val="autotext"/>
      </w:docPartObj>
    </w:sdtPr>
    <w:sdtContent>
      <w:p>
        <w:pPr>
          <w:pStyle w:val="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6D7D"/>
    <w:multiLevelType w:val="singleLevel"/>
    <w:tmpl w:val="24FE6D7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5B"/>
    <w:rsid w:val="00004F31"/>
    <w:rsid w:val="00121C8B"/>
    <w:rsid w:val="001268CA"/>
    <w:rsid w:val="00142CDF"/>
    <w:rsid w:val="002310F2"/>
    <w:rsid w:val="002C0816"/>
    <w:rsid w:val="002E512F"/>
    <w:rsid w:val="002E5CBF"/>
    <w:rsid w:val="00344036"/>
    <w:rsid w:val="00345AB0"/>
    <w:rsid w:val="0035607D"/>
    <w:rsid w:val="003748C2"/>
    <w:rsid w:val="003749C8"/>
    <w:rsid w:val="00433FA2"/>
    <w:rsid w:val="00467D46"/>
    <w:rsid w:val="00477EB0"/>
    <w:rsid w:val="004818FF"/>
    <w:rsid w:val="004C6F7A"/>
    <w:rsid w:val="004D357B"/>
    <w:rsid w:val="005378FB"/>
    <w:rsid w:val="0054673B"/>
    <w:rsid w:val="00560A70"/>
    <w:rsid w:val="00570613"/>
    <w:rsid w:val="005E588D"/>
    <w:rsid w:val="00637E4A"/>
    <w:rsid w:val="006430DB"/>
    <w:rsid w:val="006852D2"/>
    <w:rsid w:val="006B395E"/>
    <w:rsid w:val="006B5B4B"/>
    <w:rsid w:val="006B635B"/>
    <w:rsid w:val="006C2D29"/>
    <w:rsid w:val="006E6BEE"/>
    <w:rsid w:val="00737745"/>
    <w:rsid w:val="0077419A"/>
    <w:rsid w:val="007A54F8"/>
    <w:rsid w:val="007D2A76"/>
    <w:rsid w:val="007D6E64"/>
    <w:rsid w:val="007E14C3"/>
    <w:rsid w:val="00821FC3"/>
    <w:rsid w:val="00850A40"/>
    <w:rsid w:val="008613F3"/>
    <w:rsid w:val="00893B20"/>
    <w:rsid w:val="008A03F5"/>
    <w:rsid w:val="008C20BE"/>
    <w:rsid w:val="009021EB"/>
    <w:rsid w:val="009313AF"/>
    <w:rsid w:val="0093245E"/>
    <w:rsid w:val="00957092"/>
    <w:rsid w:val="00A05F6A"/>
    <w:rsid w:val="00A42A5A"/>
    <w:rsid w:val="00A71166"/>
    <w:rsid w:val="00A93442"/>
    <w:rsid w:val="00AA047B"/>
    <w:rsid w:val="00AB2B2F"/>
    <w:rsid w:val="00AB3BA0"/>
    <w:rsid w:val="00AD7AB1"/>
    <w:rsid w:val="00AE72C0"/>
    <w:rsid w:val="00B368CE"/>
    <w:rsid w:val="00B45560"/>
    <w:rsid w:val="00B53B36"/>
    <w:rsid w:val="00B83D85"/>
    <w:rsid w:val="00B84713"/>
    <w:rsid w:val="00B87771"/>
    <w:rsid w:val="00BB1350"/>
    <w:rsid w:val="00C0116F"/>
    <w:rsid w:val="00C93460"/>
    <w:rsid w:val="00CC0623"/>
    <w:rsid w:val="00CF0556"/>
    <w:rsid w:val="00DD2131"/>
    <w:rsid w:val="00E231CF"/>
    <w:rsid w:val="00E23CCC"/>
    <w:rsid w:val="00E33B5B"/>
    <w:rsid w:val="00E42551"/>
    <w:rsid w:val="00E43946"/>
    <w:rsid w:val="00E80C39"/>
    <w:rsid w:val="00EB76F4"/>
    <w:rsid w:val="00EF0E66"/>
    <w:rsid w:val="00F1571B"/>
    <w:rsid w:val="00F215C2"/>
    <w:rsid w:val="00F805EC"/>
    <w:rsid w:val="00F9777B"/>
    <w:rsid w:val="00FD04A1"/>
    <w:rsid w:val="00FF43C9"/>
    <w:rsid w:val="01097CE8"/>
    <w:rsid w:val="016E2F6B"/>
    <w:rsid w:val="01730582"/>
    <w:rsid w:val="02764CE6"/>
    <w:rsid w:val="0281396C"/>
    <w:rsid w:val="03192BB3"/>
    <w:rsid w:val="053242B0"/>
    <w:rsid w:val="06AD6562"/>
    <w:rsid w:val="087D1CE6"/>
    <w:rsid w:val="093D77C9"/>
    <w:rsid w:val="09C474A0"/>
    <w:rsid w:val="09D56A0B"/>
    <w:rsid w:val="09F52969"/>
    <w:rsid w:val="0A397E8E"/>
    <w:rsid w:val="0A7C14E5"/>
    <w:rsid w:val="0C422AE8"/>
    <w:rsid w:val="0CDA7707"/>
    <w:rsid w:val="0E1409F6"/>
    <w:rsid w:val="0F0A5C76"/>
    <w:rsid w:val="10BB784F"/>
    <w:rsid w:val="113849FC"/>
    <w:rsid w:val="118027BE"/>
    <w:rsid w:val="11C723B0"/>
    <w:rsid w:val="14402CE5"/>
    <w:rsid w:val="148D1503"/>
    <w:rsid w:val="14EF780E"/>
    <w:rsid w:val="16DA0303"/>
    <w:rsid w:val="178200CA"/>
    <w:rsid w:val="17FB2C27"/>
    <w:rsid w:val="1BD87507"/>
    <w:rsid w:val="1D282217"/>
    <w:rsid w:val="1E6E37E2"/>
    <w:rsid w:val="209165D3"/>
    <w:rsid w:val="20BD4670"/>
    <w:rsid w:val="221072CF"/>
    <w:rsid w:val="2221328A"/>
    <w:rsid w:val="224F3AF6"/>
    <w:rsid w:val="229E2B2D"/>
    <w:rsid w:val="22D622C7"/>
    <w:rsid w:val="23394323"/>
    <w:rsid w:val="23F824F6"/>
    <w:rsid w:val="264033CB"/>
    <w:rsid w:val="282910EA"/>
    <w:rsid w:val="28FC2A83"/>
    <w:rsid w:val="2953662D"/>
    <w:rsid w:val="29CB06AB"/>
    <w:rsid w:val="2A7B7309"/>
    <w:rsid w:val="2E4647A4"/>
    <w:rsid w:val="317B29B7"/>
    <w:rsid w:val="353510CF"/>
    <w:rsid w:val="37321D6A"/>
    <w:rsid w:val="37466353"/>
    <w:rsid w:val="375412A2"/>
    <w:rsid w:val="38A66B67"/>
    <w:rsid w:val="3AD55AFF"/>
    <w:rsid w:val="3AF9494C"/>
    <w:rsid w:val="3D510A70"/>
    <w:rsid w:val="3E241CE0"/>
    <w:rsid w:val="3F4D34B9"/>
    <w:rsid w:val="3FE61C4C"/>
    <w:rsid w:val="40467296"/>
    <w:rsid w:val="420432B8"/>
    <w:rsid w:val="44644FC4"/>
    <w:rsid w:val="4661564E"/>
    <w:rsid w:val="47A1342E"/>
    <w:rsid w:val="47C86CBC"/>
    <w:rsid w:val="48A80789"/>
    <w:rsid w:val="4A606BE6"/>
    <w:rsid w:val="4AAE12AF"/>
    <w:rsid w:val="4B221912"/>
    <w:rsid w:val="4B337A07"/>
    <w:rsid w:val="4BF511C9"/>
    <w:rsid w:val="4D595884"/>
    <w:rsid w:val="4D896004"/>
    <w:rsid w:val="4DC808DA"/>
    <w:rsid w:val="4DF01BF7"/>
    <w:rsid w:val="4F0C78AF"/>
    <w:rsid w:val="4F135B85"/>
    <w:rsid w:val="51234079"/>
    <w:rsid w:val="512E314A"/>
    <w:rsid w:val="51B050FE"/>
    <w:rsid w:val="55855303"/>
    <w:rsid w:val="573B7CAD"/>
    <w:rsid w:val="57437223"/>
    <w:rsid w:val="576465B0"/>
    <w:rsid w:val="59442F17"/>
    <w:rsid w:val="5950410B"/>
    <w:rsid w:val="59702443"/>
    <w:rsid w:val="5A0946DF"/>
    <w:rsid w:val="5A5003AC"/>
    <w:rsid w:val="5AC64062"/>
    <w:rsid w:val="5B10566E"/>
    <w:rsid w:val="5B2A59BC"/>
    <w:rsid w:val="5B7618C6"/>
    <w:rsid w:val="5B8F6EDB"/>
    <w:rsid w:val="5C6A0DAE"/>
    <w:rsid w:val="5D7823B2"/>
    <w:rsid w:val="5E2001AB"/>
    <w:rsid w:val="5E3B0C54"/>
    <w:rsid w:val="5ED77F60"/>
    <w:rsid w:val="617C580C"/>
    <w:rsid w:val="619863BE"/>
    <w:rsid w:val="62991914"/>
    <w:rsid w:val="63D63372"/>
    <w:rsid w:val="657D5FF6"/>
    <w:rsid w:val="65A610A9"/>
    <w:rsid w:val="65E6594A"/>
    <w:rsid w:val="6635067F"/>
    <w:rsid w:val="670F1A60"/>
    <w:rsid w:val="68B166E3"/>
    <w:rsid w:val="6A95793E"/>
    <w:rsid w:val="6ADC37BF"/>
    <w:rsid w:val="6B427AC6"/>
    <w:rsid w:val="6B7A6102"/>
    <w:rsid w:val="6CDF1C45"/>
    <w:rsid w:val="6D3721A7"/>
    <w:rsid w:val="6DD16EDF"/>
    <w:rsid w:val="6E5E3AE5"/>
    <w:rsid w:val="70514307"/>
    <w:rsid w:val="70634ED0"/>
    <w:rsid w:val="718B3849"/>
    <w:rsid w:val="72BB7781"/>
    <w:rsid w:val="73746941"/>
    <w:rsid w:val="74466782"/>
    <w:rsid w:val="752D479B"/>
    <w:rsid w:val="75377F70"/>
    <w:rsid w:val="75660D48"/>
    <w:rsid w:val="75B70CD3"/>
    <w:rsid w:val="7601057E"/>
    <w:rsid w:val="762E2C01"/>
    <w:rsid w:val="76572F1D"/>
    <w:rsid w:val="766F54E7"/>
    <w:rsid w:val="77091498"/>
    <w:rsid w:val="7B197A95"/>
    <w:rsid w:val="7C4B60AF"/>
    <w:rsid w:val="7E5D1D14"/>
    <w:rsid w:val="7F0104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82"/>
      <w:textAlignment w:val="baseline"/>
    </w:pPr>
    <w:rPr>
      <w:kern w:val="0"/>
      <w:sz w:val="24"/>
    </w:rPr>
  </w:style>
  <w:style w:type="paragraph" w:styleId="3">
    <w:name w:val="Body Text"/>
    <w:basedOn w:val="1"/>
    <w:link w:val="14"/>
    <w:unhideWhenUsed/>
    <w:qFormat/>
    <w:uiPriority w:val="99"/>
    <w:pPr>
      <w:spacing w:after="120"/>
    </w:pPr>
  </w:style>
  <w:style w:type="paragraph" w:styleId="4">
    <w:name w:val="Body Text Indent"/>
    <w:basedOn w:val="1"/>
    <w:link w:val="13"/>
    <w:qFormat/>
    <w:uiPriority w:val="0"/>
    <w:pPr>
      <w:spacing w:line="360" w:lineRule="exact"/>
      <w:ind w:left="-527" w:firstLine="526" w:firstLineChars="219"/>
    </w:pPr>
    <w:rPr>
      <w:sz w:val="24"/>
    </w:rPr>
  </w:style>
  <w:style w:type="paragraph" w:styleId="5">
    <w:name w:val="Balloon Text"/>
    <w:basedOn w:val="1"/>
    <w:link w:val="16"/>
    <w:semiHidden/>
    <w:unhideWhenUsed/>
    <w:qFormat/>
    <w:uiPriority w:val="99"/>
    <w:rPr>
      <w:rFonts w:ascii="Calibri" w:hAnsi="Calibri"/>
      <w:sz w:val="18"/>
      <w:szCs w:val="18"/>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正文文本缩进 Char"/>
    <w:basedOn w:val="10"/>
    <w:link w:val="4"/>
    <w:qFormat/>
    <w:uiPriority w:val="0"/>
    <w:rPr>
      <w:rFonts w:ascii="Times New Roman" w:hAnsi="Times New Roman" w:eastAsia="宋体" w:cs="Times New Roman"/>
      <w:sz w:val="24"/>
      <w:szCs w:val="20"/>
    </w:rPr>
  </w:style>
  <w:style w:type="character" w:customStyle="1" w:styleId="14">
    <w:name w:val="正文文本 Char"/>
    <w:basedOn w:val="10"/>
    <w:link w:val="3"/>
    <w:qFormat/>
    <w:uiPriority w:val="99"/>
    <w:rPr>
      <w:rFonts w:ascii="Times New Roman" w:hAnsi="Times New Roman" w:eastAsia="宋体" w:cs="Times New Roman"/>
      <w:kern w:val="2"/>
      <w:sz w:val="21"/>
    </w:rPr>
  </w:style>
  <w:style w:type="paragraph" w:customStyle="1" w:styleId="15">
    <w:name w:val="样式节1"/>
    <w:basedOn w:val="1"/>
    <w:qFormat/>
    <w:uiPriority w:val="99"/>
    <w:pPr>
      <w:snapToGrid w:val="0"/>
      <w:spacing w:before="120" w:after="120" w:line="312" w:lineRule="auto"/>
      <w:ind w:firstLine="567"/>
    </w:pPr>
    <w:rPr>
      <w:rFonts w:ascii="宋体"/>
      <w:b/>
      <w:bCs/>
      <w:spacing w:val="6"/>
      <w:sz w:val="32"/>
    </w:rPr>
  </w:style>
  <w:style w:type="character" w:customStyle="1" w:styleId="16">
    <w:name w:val="批注框文本 Char"/>
    <w:basedOn w:val="10"/>
    <w:link w:val="5"/>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972</Words>
  <Characters>5546</Characters>
  <Lines>46</Lines>
  <Paragraphs>13</Paragraphs>
  <TotalTime>109</TotalTime>
  <ScaleCrop>false</ScaleCrop>
  <LinksUpToDate>false</LinksUpToDate>
  <CharactersWithSpaces>6505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2021-12-02T08:17:00Z</dcterms:created>
  <dc:creator>pc</dc:creator>
  <cp:lastModifiedBy>Administrator</cp:lastModifiedBy>
  <cp:lastPrinted>2022-01-16T08:35:00Z</cp:lastPrinted>
  <dcterms:modified xsi:type="dcterms:W3CDTF">2022-01-16T12:51:47Z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3F629AB45F824EB4B929DD0E346ECEB6</vt:lpwstr>
  </property>
</Properties>
</file>